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970E" w14:textId="77777777" w:rsidR="00F33EC7" w:rsidRDefault="00F33EC7" w:rsidP="00F33EC7">
      <w:pPr>
        <w:spacing w:line="580" w:lineRule="exact"/>
        <w:jc w:val="center"/>
        <w:rPr>
          <w:rFonts w:ascii="Times New Roman" w:eastAsia="CESI小标宋-GB2312" w:hAnsi="Times New Roman"/>
          <w:color w:val="000000"/>
          <w:spacing w:val="-11"/>
          <w:w w:val="97"/>
          <w:sz w:val="44"/>
          <w:szCs w:val="44"/>
        </w:rPr>
      </w:pPr>
      <w:r>
        <w:rPr>
          <w:rFonts w:ascii="Times New Roman" w:eastAsia="CESI小标宋-GB2312" w:hAnsi="Times New Roman" w:hint="eastAsia"/>
          <w:color w:val="000000"/>
          <w:spacing w:val="-11"/>
          <w:w w:val="97"/>
          <w:sz w:val="44"/>
          <w:szCs w:val="44"/>
        </w:rPr>
        <w:t>焦作市人民政府</w:t>
      </w:r>
    </w:p>
    <w:p w14:paraId="0096EF0C" w14:textId="77777777" w:rsidR="00F33EC7" w:rsidRDefault="00F33EC7" w:rsidP="00F33EC7">
      <w:pPr>
        <w:spacing w:line="580" w:lineRule="exact"/>
        <w:jc w:val="center"/>
        <w:rPr>
          <w:rFonts w:ascii="Times New Roman" w:eastAsia="CESI小标宋-GB2312" w:hAnsi="Times New Roman"/>
          <w:color w:val="000000"/>
          <w:spacing w:val="-11"/>
          <w:w w:val="97"/>
          <w:sz w:val="44"/>
          <w:szCs w:val="44"/>
        </w:rPr>
      </w:pPr>
      <w:r>
        <w:rPr>
          <w:rFonts w:ascii="Times New Roman" w:eastAsia="CESI小标宋-GB2312" w:hAnsi="Times New Roman" w:hint="eastAsia"/>
          <w:color w:val="000000"/>
          <w:spacing w:val="-11"/>
          <w:w w:val="97"/>
          <w:sz w:val="44"/>
          <w:szCs w:val="44"/>
        </w:rPr>
        <w:t>关于促进科技金融结合支持科技型中小微企业</w:t>
      </w:r>
    </w:p>
    <w:p w14:paraId="395D55AF" w14:textId="77777777" w:rsidR="00F33EC7" w:rsidRDefault="00F33EC7" w:rsidP="00F33EC7">
      <w:pPr>
        <w:spacing w:line="580" w:lineRule="exact"/>
        <w:jc w:val="center"/>
        <w:rPr>
          <w:rFonts w:ascii="Times New Roman" w:eastAsia="CESI小标宋-GB2312" w:hAnsi="Times New Roman"/>
          <w:vanish/>
          <w:color w:val="000000"/>
          <w:spacing w:val="-11"/>
          <w:w w:val="97"/>
          <w:sz w:val="32"/>
          <w:szCs w:val="32"/>
        </w:rPr>
      </w:pPr>
      <w:r>
        <w:rPr>
          <w:rFonts w:ascii="Times New Roman" w:eastAsia="CESI小标宋-GB2312" w:hAnsi="Times New Roman" w:hint="eastAsia"/>
          <w:color w:val="000000"/>
          <w:spacing w:val="-11"/>
          <w:w w:val="97"/>
          <w:sz w:val="44"/>
          <w:szCs w:val="44"/>
        </w:rPr>
        <w:t>发展的意见</w:t>
      </w:r>
    </w:p>
    <w:p w14:paraId="4CACE880" w14:textId="77777777" w:rsidR="00F33EC7" w:rsidRDefault="00F33EC7" w:rsidP="00F33EC7">
      <w:pPr>
        <w:spacing w:line="580" w:lineRule="exact"/>
        <w:ind w:firstLineChars="200" w:firstLine="577"/>
        <w:jc w:val="center"/>
        <w:rPr>
          <w:rFonts w:ascii="Times New Roman" w:eastAsia="CESI小标宋-GB2312" w:hAnsi="Times New Roman"/>
          <w:color w:val="000000"/>
          <w:spacing w:val="-11"/>
          <w:w w:val="97"/>
          <w:sz w:val="32"/>
          <w:szCs w:val="32"/>
        </w:rPr>
      </w:pPr>
    </w:p>
    <w:p w14:paraId="20605835" w14:textId="77777777" w:rsidR="00F33EC7" w:rsidRDefault="00F33EC7" w:rsidP="00F33EC7">
      <w:pPr>
        <w:spacing w:line="580" w:lineRule="exact"/>
        <w:jc w:val="center"/>
        <w:rPr>
          <w:rFonts w:ascii="仿宋_GB2312" w:eastAsia="仿宋_GB2312" w:hAnsi="仿宋_GB2312" w:cs="仿宋_GB2312"/>
          <w:color w:val="000000"/>
          <w:spacing w:val="-11"/>
          <w:w w:val="97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pacing w:val="-11"/>
          <w:w w:val="97"/>
          <w:kern w:val="0"/>
          <w:sz w:val="32"/>
          <w:szCs w:val="32"/>
          <w:lang w:bidi="ar"/>
        </w:rPr>
        <w:t>焦政〔2015〕8号</w:t>
      </w:r>
    </w:p>
    <w:p w14:paraId="2B24BDB3" w14:textId="77777777" w:rsidR="00F33EC7" w:rsidRDefault="00F33EC7" w:rsidP="00F33EC7">
      <w:pPr>
        <w:spacing w:line="580" w:lineRule="exact"/>
        <w:jc w:val="center"/>
        <w:rPr>
          <w:rFonts w:ascii="仿宋_GB2312" w:eastAsia="仿宋_GB2312" w:hAnsi="仿宋_GB2312" w:cs="仿宋_GB2312" w:hint="eastAsia"/>
          <w:color w:val="000000"/>
          <w:spacing w:val="-11"/>
          <w:w w:val="97"/>
          <w:kern w:val="0"/>
          <w:sz w:val="32"/>
          <w:szCs w:val="32"/>
          <w:lang w:bidi="ar"/>
        </w:rPr>
      </w:pPr>
    </w:p>
    <w:p w14:paraId="3B8E4AB4" w14:textId="77777777" w:rsidR="00F33EC7" w:rsidRDefault="00F33EC7" w:rsidP="00F33EC7">
      <w:pPr>
        <w:spacing w:line="580" w:lineRule="exact"/>
        <w:jc w:val="left"/>
        <w:rPr>
          <w:rFonts w:ascii="楷体" w:eastAsia="楷体" w:hAnsi="楷体" w:cs="楷体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各县（市）区人民政府，市城乡一体化示范区管委会，市人民政府有关部门，有关单位：</w:t>
      </w:r>
    </w:p>
    <w:p w14:paraId="5CD4AA97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为深入实施科技强市战略和创新驱动发展战略，推动全市形成“大众创业、万众创新”良好局面，促进科技金融结合，支持科技型中小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发展，加快产业链、创新链与资金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链有效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配置与融合步伐，切实解决创新创业者、科技型中小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创新创业融资困难，提高财政资金管理使用绩效，培植新兴后续财源，现就促进科技金融结合、支持科技型中小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发展提出如下意见。</w:t>
      </w:r>
    </w:p>
    <w:p w14:paraId="65A13C78" w14:textId="77777777" w:rsidR="00F33EC7" w:rsidRDefault="00F33EC7" w:rsidP="00F33EC7">
      <w:pPr>
        <w:spacing w:line="580" w:lineRule="exact"/>
        <w:ind w:firstLineChars="200" w:firstLine="600"/>
        <w:jc w:val="left"/>
        <w:rPr>
          <w:rFonts w:ascii="黑体" w:eastAsia="黑体" w:hAnsi="黑体" w:cs="黑体" w:hint="eastAsia"/>
          <w:bCs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  <w:lang w:bidi="ar"/>
        </w:rPr>
        <w:t>一、充分认识科技金融结合支持科技型中小</w:t>
      </w:r>
      <w:proofErr w:type="gramStart"/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  <w:lang w:bidi="ar"/>
        </w:rPr>
        <w:t>微企业</w:t>
      </w:r>
      <w:proofErr w:type="gramEnd"/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  <w:lang w:bidi="ar"/>
        </w:rPr>
        <w:t>发展的重要意义</w:t>
      </w:r>
    </w:p>
    <w:p w14:paraId="7599AAB9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（一）支持科技型中小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发展是促进经济转型加快经济发展的必然要求。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是支撑我市经济持续、稳定、快速发展的重要力量。大力发展科技型中小微企业，是实现我市经济结构调整、增强发展内在活力的必然要求，对促进科技进步、推动产业转型、转变发展方式、提升发展水平等具有重要作用。</w:t>
      </w:r>
    </w:p>
    <w:p w14:paraId="233760F6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（二）支持科技型中小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发展是构建和谐社会的重要体现。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在实现经济适度增长、缓解就业压力、改善民生和保持社会稳定等方面具有不可替代的重要作用。各金融机构要牢固树立和全面落实科学发展观，增强责任感、使命感和紧迫感，以支持科技型中小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发展为已任，加快构建和谐社会。</w:t>
      </w:r>
    </w:p>
    <w:p w14:paraId="1E8F8A9F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（三）支持科技型中小</w:t>
      </w:r>
      <w:proofErr w:type="gramStart"/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发展是金融业发展的客观需要。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是金融信贷支持重点与经济发展合理需求的有效结合点，也是金融机构优质客户的重要潜在来源。加快提升科技型中小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金融服务，创新和发展科技型中小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贷款业务，进一步支持科技型中小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发展，是金融业转变发展观念、调整经营发展策略的客观要求。</w:t>
      </w:r>
    </w:p>
    <w:p w14:paraId="03C5B3A8" w14:textId="77777777" w:rsidR="00F33EC7" w:rsidRDefault="00F33EC7" w:rsidP="00F33EC7">
      <w:pPr>
        <w:spacing w:line="580" w:lineRule="exact"/>
        <w:ind w:firstLineChars="200" w:firstLine="600"/>
        <w:jc w:val="left"/>
        <w:rPr>
          <w:rFonts w:ascii="黑体" w:eastAsia="黑体" w:hAnsi="黑体" w:cs="黑体" w:hint="eastAsia"/>
          <w:bCs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0"/>
          <w:szCs w:val="30"/>
          <w:lang w:bidi="ar"/>
        </w:rPr>
        <w:t>二、多策并举，促进科技金融结合</w:t>
      </w:r>
    </w:p>
    <w:p w14:paraId="5289E8DB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（一）设立科技企业投资引导基金。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从2015年起，每年市财政科技资金出资3000万元，募集社会资金7000万元，设立科技企业投资引导基金，力争5年左右达到5—10亿规模，承担投资服务科技型中小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的主体责任，培育优质科技信贷客户源。坚持政府引导、社会参与、市场运作、专业管理的原则，制定管理制度和激励约束机制，把市场作用和政府作用有机结合起来，发挥财政资金的杠杆和导向作用，推动转方式、调结构，激励模式创新，构建财政资金激励，引导产业发展的长效机制。</w:t>
      </w:r>
    </w:p>
    <w:p w14:paraId="0FB6F593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（二）鼓励金融机构设立科技支行。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按照国家、省有关规定、鼓励国有或民营银行及社会资金共同出资建立科技支行。科技支行不做政府融资平台、不开展房地产业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、不经营传统行业贷款业务，专注为科技型中小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提供专业金融服务，重点支持高新技术企业、创新型企业和个体创新创业者。先期由市政府引导，以焦作市商业银行为依托，建立焦作首家科技支行。通过探索完善政策措施，示范带动其他金融机构，营造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良好融资环境。各科技支行同等享受相关扶持政策。</w:t>
      </w:r>
    </w:p>
    <w:p w14:paraId="78F7BDF9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（三）建立科技融资风险补偿制度。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设立科技融资风险池。从2015年起，市、区两级财政每年各拿出1000万元风险补偿专项资金，连续5年安排1亿元资金，设立科技融资风险池，集中用于科技支行开展科技型中小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及个体创新创业者科技贷款损失的风险补偿。</w:t>
      </w:r>
    </w:p>
    <w:p w14:paraId="533FF4CA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（四）建立科技融资担保体系。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以焦作市中小企业担保公司为主体，组建科技融资担保中心，探索优化科技型中小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信贷担保业务。从2015年起，市、区两级财政每年各拿出500万元，设立担保费优惠补贴资金，用于补贴担保平台的担保费优惠。各担保公司对科技型中小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的科技信贷担保收费不得高于国家规定的担保费率，财政对符合规定范围的科技信贷给予各担保公司适当担保费补贴。市政府国资委制定单独的担保业绩考核政策并组织实施。通过探索完善政策措施，示范带动市内外更多担保机构或社会力量广泛参与科技融资担保，营造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良好融资环境。</w:t>
      </w:r>
    </w:p>
    <w:p w14:paraId="579EC29F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（五）设立科技贷款贴息资金。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从2015年起，市、区两级财政每年各拿出500万元，设立科技贷款贴息资金，用于科技支行对科技型中小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及个体创业者贷款利率优惠的补贴。科技支行贷款利率不得超过基准利率。贴息额度以日均贷款余额为计算依据，按不超过国家平均基准利率的32%给予财政贴息补助。</w:t>
      </w:r>
    </w:p>
    <w:p w14:paraId="009D346B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  <w:lang w:bidi="ar"/>
        </w:rPr>
        <w:t>（六）建立专职中介服务机构。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市财政拨付专项资金，依托市生产力促进中心，组建金融专家服务团队，成立焦作市科技金融服务中心，为科技型中小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微企业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及个体创业者通过科技支行融资提供政策咨询、创新能力评估、信贷风险评估、信贷征信评级等服务；为科技支行开展科技信贷提供前期咨询中介服务；完成科技信贷风险补偿、科技贷款贴息、科技贷款担保费用补贴等兑付过程监管、专家审查、资料整理等服务。</w:t>
      </w:r>
    </w:p>
    <w:p w14:paraId="29F09A81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Times New Roman" w:eastAsia="CESI仿宋-GB2312" w:hAnsi="Times New Roman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以上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各优惠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政策的具体实施及管理办法另行制定。</w:t>
      </w:r>
    </w:p>
    <w:p w14:paraId="0E641219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黑体" w:eastAsia="黑体" w:hAnsi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 w:bidi="ar"/>
        </w:rPr>
        <w:t>三、各负其责，相互配合，建立健全运行机制</w:t>
      </w:r>
    </w:p>
    <w:p w14:paraId="3016EFC9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财政部门负责整合财政科技资金，提出当年科技资金总体分配方案，牵头做好资金的监管和重点绩效评价。科技部门履行研究产业发展方向、搞好行业发展规划的职责，制定扶持企业的范围和条件；组建项目库，择优推荐项目；做好科技资金的绩效评价自评工作，配合财政部门做好重点绩效评价。基金托管单位按照委托管理协议，负责股权投资资金市场化运作，在法定程序内承担股权投资资金管理有限责任，按所持有股权行使股东权利，履行股东义务；建立相应的投资资金风险规避机制、运作机制和退出机制，防范债务风险。专业管理团队切实对投资人负责，建立科学合理的项目遴选机制、尽职调查流程、投资决策程序、风险控制机制和投后管理制度。科技支行负责科技信贷，担保公司为企业提供科技信贷担保，科技融资风险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池负责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科技信贷有限风险补偿，各方独立自主开展业务，共同分担科技信贷风险，探索建立科技信贷风险共担和绩效考核机制。</w:t>
      </w:r>
    </w:p>
    <w:p w14:paraId="7AF9B1AB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为充分发挥市、区一体化优势，促进市、区科技金融利益共享、协同发展，先期试行市、区联动模式。成熟运作后，引导鼓励县（市）参与，适时全市联动，促进全市科技金融一体化发展。</w:t>
      </w:r>
    </w:p>
    <w:p w14:paraId="5821E5CB" w14:textId="77777777" w:rsidR="00F33EC7" w:rsidRDefault="00F33EC7" w:rsidP="00F33EC7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</w:p>
    <w:p w14:paraId="277977F0" w14:textId="77777777" w:rsidR="00F33EC7" w:rsidRDefault="00F33EC7" w:rsidP="00F33EC7">
      <w:pPr>
        <w:spacing w:line="580" w:lineRule="exact"/>
        <w:ind w:firstLineChars="200" w:firstLine="640"/>
        <w:jc w:val="righ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（2015年9月11日印发）</w:t>
      </w:r>
    </w:p>
    <w:p w14:paraId="79FAE7D5" w14:textId="77777777" w:rsidR="00F33EC7" w:rsidRDefault="00F33EC7" w:rsidP="00F33EC7">
      <w:pPr>
        <w:widowControl/>
        <w:suppressAutoHyphens w:val="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sectPr w:rsidR="00F33EC7">
          <w:pgSz w:w="11906" w:h="16838"/>
          <w:pgMar w:top="2098" w:right="1474" w:bottom="1417" w:left="2154" w:header="850" w:footer="1247" w:gutter="0"/>
          <w:cols w:space="720"/>
          <w:docGrid w:type="lines" w:linePitch="312"/>
        </w:sectPr>
      </w:pPr>
    </w:p>
    <w:p w14:paraId="3DE03678" w14:textId="77777777" w:rsidR="003D4260" w:rsidRDefault="003D4260"/>
    <w:sectPr w:rsidR="003D4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7287" w14:textId="77777777" w:rsidR="00A34AD9" w:rsidRDefault="00A34AD9" w:rsidP="00F33EC7">
      <w:r>
        <w:separator/>
      </w:r>
    </w:p>
  </w:endnote>
  <w:endnote w:type="continuationSeparator" w:id="0">
    <w:p w14:paraId="67DADB64" w14:textId="77777777" w:rsidR="00A34AD9" w:rsidRDefault="00A34AD9" w:rsidP="00F3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小标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F4C4" w14:textId="77777777" w:rsidR="00A34AD9" w:rsidRDefault="00A34AD9" w:rsidP="00F33EC7">
      <w:r>
        <w:separator/>
      </w:r>
    </w:p>
  </w:footnote>
  <w:footnote w:type="continuationSeparator" w:id="0">
    <w:p w14:paraId="1E48E0BE" w14:textId="77777777" w:rsidR="00A34AD9" w:rsidRDefault="00A34AD9" w:rsidP="00F3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DF"/>
    <w:rsid w:val="003D4260"/>
    <w:rsid w:val="00956EDF"/>
    <w:rsid w:val="00A34AD9"/>
    <w:rsid w:val="00F3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30FA6-1434-4A22-B9DE-3FD70804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EC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EC7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3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3EC7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3E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BY</dc:creator>
  <cp:keywords/>
  <dc:description/>
  <cp:lastModifiedBy>H BY</cp:lastModifiedBy>
  <cp:revision>2</cp:revision>
  <dcterms:created xsi:type="dcterms:W3CDTF">2021-11-29T11:59:00Z</dcterms:created>
  <dcterms:modified xsi:type="dcterms:W3CDTF">2021-11-29T11:59:00Z</dcterms:modified>
</cp:coreProperties>
</file>