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970E" w14:textId="77777777" w:rsidR="00F33EC7" w:rsidRDefault="00F33EC7" w:rsidP="00F33EC7">
      <w:pPr>
        <w:spacing w:line="580" w:lineRule="exact"/>
        <w:jc w:val="center"/>
        <w:rPr>
          <w:rFonts w:ascii="Times New Roman" w:eastAsia="CESI小标宋-GB2312" w:hAnsi="Times New Roman"/>
          <w:color w:val="000000"/>
          <w:spacing w:val="-11"/>
          <w:w w:val="97"/>
          <w:sz w:val="44"/>
          <w:szCs w:val="44"/>
        </w:rPr>
      </w:pPr>
      <w:r>
        <w:rPr>
          <w:rFonts w:ascii="Times New Roman" w:eastAsia="CESI小标宋-GB2312" w:hAnsi="Times New Roman" w:hint="eastAsia"/>
          <w:color w:val="000000"/>
          <w:spacing w:val="-11"/>
          <w:w w:val="97"/>
          <w:sz w:val="44"/>
          <w:szCs w:val="44"/>
        </w:rPr>
        <w:t>焦作市人民政府</w:t>
      </w:r>
    </w:p>
    <w:p w14:paraId="0096EF0C" w14:textId="77777777" w:rsidR="00F33EC7" w:rsidRDefault="00F33EC7" w:rsidP="00F33EC7">
      <w:pPr>
        <w:spacing w:line="580" w:lineRule="exact"/>
        <w:jc w:val="center"/>
        <w:rPr>
          <w:rFonts w:ascii="Times New Roman" w:eastAsia="CESI小标宋-GB2312" w:hAnsi="Times New Roman"/>
          <w:color w:val="000000"/>
          <w:spacing w:val="-11"/>
          <w:w w:val="97"/>
          <w:sz w:val="44"/>
          <w:szCs w:val="44"/>
        </w:rPr>
      </w:pPr>
      <w:r>
        <w:rPr>
          <w:rFonts w:ascii="Times New Roman" w:eastAsia="CESI小标宋-GB2312" w:hAnsi="Times New Roman" w:hint="eastAsia"/>
          <w:color w:val="000000"/>
          <w:spacing w:val="-11"/>
          <w:w w:val="97"/>
          <w:sz w:val="44"/>
          <w:szCs w:val="44"/>
        </w:rPr>
        <w:t>关于促进科技金融结合支持科技型中小微企业</w:t>
      </w:r>
    </w:p>
    <w:p w14:paraId="395D55AF" w14:textId="77777777" w:rsidR="00F33EC7" w:rsidRDefault="00F33EC7" w:rsidP="00F33EC7">
      <w:pPr>
        <w:spacing w:line="580" w:lineRule="exact"/>
        <w:jc w:val="center"/>
        <w:rPr>
          <w:rFonts w:ascii="Times New Roman" w:eastAsia="CESI小标宋-GB2312" w:hAnsi="Times New Roman"/>
          <w:vanish/>
          <w:color w:val="000000"/>
          <w:spacing w:val="-11"/>
          <w:w w:val="97"/>
          <w:sz w:val="32"/>
          <w:szCs w:val="32"/>
        </w:rPr>
      </w:pPr>
      <w:r>
        <w:rPr>
          <w:rFonts w:ascii="Times New Roman" w:eastAsia="CESI小标宋-GB2312" w:hAnsi="Times New Roman" w:hint="eastAsia"/>
          <w:color w:val="000000"/>
          <w:spacing w:val="-11"/>
          <w:w w:val="97"/>
          <w:sz w:val="44"/>
          <w:szCs w:val="44"/>
        </w:rPr>
        <w:t>发展的意见</w:t>
      </w:r>
    </w:p>
    <w:p w14:paraId="4CACE880" w14:textId="77777777" w:rsidR="00F33EC7" w:rsidRDefault="00F33EC7" w:rsidP="00F33EC7">
      <w:pPr>
        <w:spacing w:line="580" w:lineRule="exact"/>
        <w:ind w:firstLineChars="200" w:firstLine="577"/>
        <w:jc w:val="center"/>
        <w:rPr>
          <w:rFonts w:ascii="Times New Roman" w:eastAsia="CESI小标宋-GB2312" w:hAnsi="Times New Roman"/>
          <w:color w:val="000000"/>
          <w:spacing w:val="-11"/>
          <w:w w:val="97"/>
          <w:sz w:val="32"/>
          <w:szCs w:val="32"/>
        </w:rPr>
      </w:pPr>
    </w:p>
    <w:p w14:paraId="20605835" w14:textId="77777777" w:rsidR="00F33EC7" w:rsidRDefault="00F33EC7" w:rsidP="00F33EC7">
      <w:pPr>
        <w:spacing w:line="580" w:lineRule="exact"/>
        <w:jc w:val="center"/>
        <w:rPr>
          <w:rFonts w:ascii="仿宋_GB2312" w:eastAsia="仿宋_GB2312" w:hAnsi="仿宋_GB2312" w:cs="仿宋_GB2312"/>
          <w:color w:val="000000"/>
          <w:spacing w:val="-11"/>
          <w:w w:val="97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w w:val="97"/>
          <w:kern w:val="0"/>
          <w:sz w:val="32"/>
          <w:szCs w:val="32"/>
          <w:lang w:bidi="ar"/>
        </w:rPr>
        <w:t>焦政〔2015〕8号</w:t>
      </w:r>
    </w:p>
    <w:p w14:paraId="2B24BDB3" w14:textId="77777777" w:rsidR="00F33EC7" w:rsidRDefault="00F33EC7" w:rsidP="00F33EC7">
      <w:pPr>
        <w:spacing w:line="580" w:lineRule="exact"/>
        <w:jc w:val="center"/>
        <w:rPr>
          <w:rFonts w:ascii="仿宋_GB2312" w:eastAsia="仿宋_GB2312" w:hAnsi="仿宋_GB2312" w:cs="仿宋_GB2312" w:hint="eastAsia"/>
          <w:color w:val="000000"/>
          <w:spacing w:val="-11"/>
          <w:w w:val="97"/>
          <w:kern w:val="0"/>
          <w:sz w:val="32"/>
          <w:szCs w:val="32"/>
          <w:lang w:bidi="ar"/>
        </w:rPr>
      </w:pPr>
    </w:p>
    <w:p w14:paraId="3B8E4AB4" w14:textId="77777777" w:rsidR="00F33EC7" w:rsidRDefault="00F33EC7" w:rsidP="00F33EC7">
      <w:pPr>
        <w:spacing w:line="580" w:lineRule="exact"/>
        <w:jc w:val="left"/>
        <w:rPr>
          <w:rFonts w:ascii="楷体" w:eastAsia="楷体" w:hAnsi="楷体" w:cs="楷体" w:hint="eastAsia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  <w:lang w:bidi="ar"/>
        </w:rPr>
        <w:t>各县（市）区人民政府，市城乡一体化示范区管委会，市人民政府有关部门，有关单位：</w:t>
      </w:r>
    </w:p>
    <w:p w14:paraId="5CD4AA97" w14:textId="77777777" w:rsidR="00F33EC7" w:rsidRDefault="00F33EC7" w:rsidP="00F33EC7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为深入实施科技强市战略和创新驱动发展战略，推动全市形成“大众创业、万众创新”良好局面，促进科技金融结合，支持科技型中小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微企业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发展，加快产业链、创新链与资金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链有效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配置与融合步伐，切实解决创新创业者、科技型中小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微企业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创新创业融资困难，提高财政资金管理使用绩效，培植新兴后续财源，现就促进科技金融结合、支持科技型中小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微企业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发展提出如下意见。</w:t>
      </w:r>
    </w:p>
    <w:p w14:paraId="65A13C78" w14:textId="77777777" w:rsidR="00F33EC7" w:rsidRDefault="00F33EC7" w:rsidP="00F33EC7">
      <w:pPr>
        <w:spacing w:line="580" w:lineRule="exact"/>
        <w:ind w:firstLineChars="200" w:firstLine="600"/>
        <w:jc w:val="left"/>
        <w:rPr>
          <w:rFonts w:ascii="黑体" w:eastAsia="黑体" w:hAnsi="黑体" w:cs="黑体" w:hint="eastAsia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0"/>
          <w:szCs w:val="30"/>
          <w:lang w:bidi="ar"/>
        </w:rPr>
        <w:t>一、充分认识科技金融结合支持科技型中小</w:t>
      </w:r>
      <w:proofErr w:type="gramStart"/>
      <w:r>
        <w:rPr>
          <w:rFonts w:ascii="黑体" w:eastAsia="黑体" w:hAnsi="黑体" w:cs="黑体" w:hint="eastAsia"/>
          <w:bCs/>
          <w:color w:val="000000"/>
          <w:kern w:val="0"/>
          <w:sz w:val="30"/>
          <w:szCs w:val="30"/>
          <w:lang w:bidi="ar"/>
        </w:rPr>
        <w:t>微企业</w:t>
      </w:r>
      <w:proofErr w:type="gramEnd"/>
      <w:r>
        <w:rPr>
          <w:rFonts w:ascii="黑体" w:eastAsia="黑体" w:hAnsi="黑体" w:cs="黑体" w:hint="eastAsia"/>
          <w:bCs/>
          <w:color w:val="000000"/>
          <w:kern w:val="0"/>
          <w:sz w:val="30"/>
          <w:szCs w:val="30"/>
          <w:lang w:bidi="ar"/>
        </w:rPr>
        <w:t>发展的重要意义</w:t>
      </w:r>
    </w:p>
    <w:p w14:paraId="7599AAB9" w14:textId="77777777" w:rsidR="00F33EC7" w:rsidRDefault="00F33EC7" w:rsidP="00F33EC7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  <w:lang w:bidi="ar"/>
        </w:rPr>
        <w:t>（一）支持科技型中小</w:t>
      </w:r>
      <w:proofErr w:type="gramStart"/>
      <w:r>
        <w:rPr>
          <w:rFonts w:ascii="楷体" w:eastAsia="楷体" w:hAnsi="楷体" w:cs="楷体" w:hint="eastAsia"/>
          <w:color w:val="000000"/>
          <w:kern w:val="0"/>
          <w:sz w:val="32"/>
          <w:szCs w:val="32"/>
          <w:lang w:bidi="ar"/>
        </w:rPr>
        <w:t>微企业</w:t>
      </w:r>
      <w:proofErr w:type="gramEnd"/>
      <w:r>
        <w:rPr>
          <w:rFonts w:ascii="楷体" w:eastAsia="楷体" w:hAnsi="楷体" w:cs="楷体" w:hint="eastAsia"/>
          <w:color w:val="000000"/>
          <w:kern w:val="0"/>
          <w:sz w:val="32"/>
          <w:szCs w:val="32"/>
          <w:lang w:bidi="ar"/>
        </w:rPr>
        <w:t>发展是促进经济转型加快经济发展的必然要求。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科技型中小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微企业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是支撑我市经济持续、稳定、快速发展的重要力量。大力发展科技型中小微企业，是实现我市经济结构调整、增强发展内在活力的必然要求，对促进科技进步、推动产业转型、转变发展方式、提升发展水平等具有重要作用。</w:t>
      </w:r>
    </w:p>
    <w:p w14:paraId="233760F6" w14:textId="77777777" w:rsidR="00F33EC7" w:rsidRDefault="00F33EC7" w:rsidP="00F33EC7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  <w:lang w:bidi="ar"/>
        </w:rPr>
        <w:t>（二）支持科技型中小</w:t>
      </w:r>
      <w:proofErr w:type="gramStart"/>
      <w:r>
        <w:rPr>
          <w:rFonts w:ascii="楷体" w:eastAsia="楷体" w:hAnsi="楷体" w:cs="楷体" w:hint="eastAsia"/>
          <w:color w:val="000000"/>
          <w:kern w:val="0"/>
          <w:sz w:val="32"/>
          <w:szCs w:val="32"/>
          <w:lang w:bidi="ar"/>
        </w:rPr>
        <w:t>微企业</w:t>
      </w:r>
      <w:proofErr w:type="gramEnd"/>
      <w:r>
        <w:rPr>
          <w:rFonts w:ascii="楷体" w:eastAsia="楷体" w:hAnsi="楷体" w:cs="楷体" w:hint="eastAsia"/>
          <w:color w:val="000000"/>
          <w:kern w:val="0"/>
          <w:sz w:val="32"/>
          <w:szCs w:val="32"/>
          <w:lang w:bidi="ar"/>
        </w:rPr>
        <w:t>发展是构建和谐社会的重要体现。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科技型中小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微企业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在实现经济适度增长、缓解就业压力、改善民生和保持社会稳定等方面具有不可替代的重要作用。各金融机构要牢固树立和全面落实科学发展观，增强责任感、使命感和紧迫感，以支持科技型中小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微企业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发展为已任，加快构建和谐社会。</w:t>
      </w:r>
    </w:p>
    <w:p w14:paraId="1E8F8A9F" w14:textId="77777777" w:rsidR="00F33EC7" w:rsidRDefault="00F33EC7" w:rsidP="00F33EC7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  <w:lang w:bidi="ar"/>
        </w:rPr>
        <w:t>（三）支持科技型中小</w:t>
      </w:r>
      <w:proofErr w:type="gramStart"/>
      <w:r>
        <w:rPr>
          <w:rFonts w:ascii="楷体" w:eastAsia="楷体" w:hAnsi="楷体" w:cs="楷体" w:hint="eastAsia"/>
          <w:color w:val="000000"/>
          <w:kern w:val="0"/>
          <w:sz w:val="32"/>
          <w:szCs w:val="32"/>
          <w:lang w:bidi="ar"/>
        </w:rPr>
        <w:t>微企业</w:t>
      </w:r>
      <w:proofErr w:type="gramEnd"/>
      <w:r>
        <w:rPr>
          <w:rFonts w:ascii="楷体" w:eastAsia="楷体" w:hAnsi="楷体" w:cs="楷体" w:hint="eastAsia"/>
          <w:color w:val="000000"/>
          <w:kern w:val="0"/>
          <w:sz w:val="32"/>
          <w:szCs w:val="32"/>
          <w:lang w:bidi="ar"/>
        </w:rPr>
        <w:t>发展是金融业发展的客观需要。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科技型中小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微企业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是金融信贷支持重点与经济发展合理需求的有效结合点，也是金融机构优质客户的重要潜在来源。加快提升科技型中小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微企业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金融服务，创新和发展科技型中小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微企业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贷款业务，进一步支持科技型中小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微企业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发展，是金融业转变发展观念、调整经营发展策略的客观要求。</w:t>
      </w:r>
    </w:p>
    <w:p w14:paraId="03C5B3A8" w14:textId="77777777" w:rsidR="00F33EC7" w:rsidRDefault="00F33EC7" w:rsidP="00F33EC7">
      <w:pPr>
        <w:spacing w:line="580" w:lineRule="exact"/>
        <w:ind w:firstLineChars="200" w:firstLine="600"/>
        <w:jc w:val="left"/>
        <w:rPr>
          <w:rFonts w:ascii="黑体" w:eastAsia="黑体" w:hAnsi="黑体" w:cs="黑体" w:hint="eastAsia"/>
          <w:bCs/>
          <w:color w:val="000000"/>
          <w:kern w:val="0"/>
          <w:sz w:val="30"/>
          <w:szCs w:val="30"/>
          <w:lang w:bidi="ar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0"/>
          <w:szCs w:val="30"/>
          <w:lang w:bidi="ar"/>
        </w:rPr>
        <w:t>二、多策并举，促进科技金融结合</w:t>
      </w:r>
    </w:p>
    <w:p w14:paraId="5289E8DB" w14:textId="77777777" w:rsidR="00F33EC7" w:rsidRDefault="00F33EC7" w:rsidP="00F33EC7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  <w:lang w:bidi="ar"/>
        </w:rPr>
        <w:t>（一）设立科技企业投资引导基金。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从2015年起，每年市财政科技资金出资3000万元，募集社会资金7000万元，设立科技企业投资引导基金，力争5年左右达到5—10亿规模，承担投资服务科技型中小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微企业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的主体责任，培育优质科技信贷客户源。坚持政府引导、社会参与、市场运作、专业管理的原则，制定管理制度和激励约束机制，把市场作用和政府作用有机结合起来，发挥财政资金的杠杆和导向作用，推动转方式、调结构，激励模式创新，构建财政资金激励，引导产业发展的长效机制。</w:t>
      </w:r>
    </w:p>
    <w:p w14:paraId="0FB6F593" w14:textId="77777777" w:rsidR="00F33EC7" w:rsidRDefault="00F33EC7" w:rsidP="00F33EC7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  <w:lang w:bidi="ar"/>
        </w:rPr>
        <w:t>（二）鼓励金融机构设立科技支行。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按照国家、省有关规定、鼓励国有或民营银行及社会资金共同出资建立科技支行。科技支行不做政府融资平台、不开展房地产业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务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、不经营传统行业贷款业务，专注为科技型中小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微企业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提供专业金融服务，重点支持高新技术企业、创新型企业和个体创新创业者。先期由市政府引导，以焦作市商业银行为依托，建立焦作首家科技支行。通过探索完善政策措施，示范带动其他金融机构，营造科技型中小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微企业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良好融资环境。各科技支行同等享受相关扶持政策。</w:t>
      </w:r>
    </w:p>
    <w:p w14:paraId="78F7BDF9" w14:textId="77777777" w:rsidR="00F33EC7" w:rsidRDefault="00F33EC7" w:rsidP="00F33EC7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  <w:lang w:bidi="ar"/>
        </w:rPr>
        <w:t>（三）建立科技融资风险补偿制度。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设立科技融资风险池。从2015年起，市、区两级财政每年各拿出1000万元风险补偿专项资金，连续5年安排1亿元资金，设立科技融资风险池，集中用于科技支行开展科技型中小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微企业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及个体创新创业者科技贷款损失的风险补偿。</w:t>
      </w:r>
    </w:p>
    <w:p w14:paraId="533FF4CA" w14:textId="77777777" w:rsidR="00F33EC7" w:rsidRDefault="00F33EC7" w:rsidP="00F33EC7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  <w:lang w:bidi="ar"/>
        </w:rPr>
        <w:t>（四）建立科技融资担保体系。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以焦作市中小企业担保公司为主体，组建科技融资担保中心，探索优化科技型中小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微企业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信贷担保业务。从2015年起，市、区两级财政每年各拿出500万元，设立担保费优惠补贴资金，用于补贴担保平台的担保费优惠。各担保公司对科技型中小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微企业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的科技信贷担保收费不得高于国家规定的担保费率，财政对符合规定范围的科技信贷给予各担保公司适当担保费补贴。市政府国资委制定单独的担保业绩考核政策并组织实施。通过探索完善政策措施，示范带动市内外更多担保机构或社会力量广泛参与科技融资担保，营造科技型中小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微企业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良好融资环境。</w:t>
      </w:r>
    </w:p>
    <w:p w14:paraId="579EC29F" w14:textId="77777777" w:rsidR="00F33EC7" w:rsidRDefault="00F33EC7" w:rsidP="00F33EC7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  <w:lang w:bidi="ar"/>
        </w:rPr>
        <w:t>（五）设立科技贷款贴息资金。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从2015年起，市、区两级财政每年各拿出500万元，设立科技贷款贴息资金，用于科技支行对科技型中小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微企业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及个体创业者贷款利率优惠的补贴。科技支行贷款利率不得超过基准利率。贴息额度以日均贷款余额为计算依据，按不超过国家平均基准利率的32%给予财政贴息补助。</w:t>
      </w:r>
    </w:p>
    <w:p w14:paraId="009D346B" w14:textId="77777777" w:rsidR="00F33EC7" w:rsidRDefault="00F33EC7" w:rsidP="00F33EC7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  <w:lang w:bidi="ar"/>
        </w:rPr>
        <w:t>（六）建立专职中介服务机构。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市财政拨付专项资金，依托市生产力促进中心，组建金融专家服务团队，成立焦作市科技金融服务中心，为科技型中小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微企业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及个体创业者通过科技支行融资提供政策咨询、创新能力评估、信贷风险评估、信贷征信评级等服务；为科技支行开展科技信贷提供前期咨询中介服务；完成科技信贷风险补偿、科技贷款贴息、科技贷款担保费用补贴等兑付过程监管、专家审查、资料整理等服务。</w:t>
      </w:r>
    </w:p>
    <w:p w14:paraId="29F09A81" w14:textId="77777777" w:rsidR="00F33EC7" w:rsidRDefault="00F33EC7" w:rsidP="00F33EC7">
      <w:pPr>
        <w:spacing w:line="580" w:lineRule="exact"/>
        <w:ind w:firstLineChars="200" w:firstLine="640"/>
        <w:jc w:val="left"/>
        <w:rPr>
          <w:rFonts w:ascii="Times New Roman" w:eastAsia="CESI仿宋-GB2312" w:hAnsi="Times New Roman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以上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各优惠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政策的具体实施及管理办法另行制定。</w:t>
      </w:r>
    </w:p>
    <w:p w14:paraId="0E641219" w14:textId="77777777" w:rsidR="00F33EC7" w:rsidRDefault="00F33EC7" w:rsidP="00F33EC7">
      <w:pPr>
        <w:spacing w:line="580" w:lineRule="exact"/>
        <w:ind w:firstLineChars="200" w:firstLine="640"/>
        <w:jc w:val="left"/>
        <w:rPr>
          <w:rFonts w:ascii="黑体" w:eastAsia="黑体" w:hAnsi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  <w:t>三、各负其责，相互配合，建立健全运行机制</w:t>
      </w:r>
    </w:p>
    <w:p w14:paraId="3016EFC9" w14:textId="77777777" w:rsidR="00F33EC7" w:rsidRDefault="00F33EC7" w:rsidP="00F33EC7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财政部门负责整合财政科技资金，提出当年科技资金总体分配方案，牵头做好资金的监管和重点绩效评价。科技部门履行研究产业发展方向、搞好行业发展规划的职责，制定扶持企业的范围和条件；组建项目库，择优推荐项目；做好科技资金的绩效评价自评工作，配合财政部门做好重点绩效评价。基金托管单位按照委托管理协议，负责股权投资资金市场化运作，在法定程序内承担股权投资资金管理有限责任，按所持有股权行使股东权利，履行股东义务；建立相应的投资资金风险规避机制、运作机制和退出机制，防范债务风险。专业管理团队切实对投资人负责，建立科学合理的项目遴选机制、尽职调查流程、投资决策程序、风险控制机制和投后管理制度。科技支行负责科技信贷，担保公司为企业提供科技信贷担保，科技融资风险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池负责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科技信贷有限风险补偿，各方独立自主开展业务，共同分担科技信贷风险，探索建立科技信贷风险共担和绩效考核机制。</w:t>
      </w:r>
    </w:p>
    <w:p w14:paraId="7AF9B1AB" w14:textId="77777777" w:rsidR="00F33EC7" w:rsidRDefault="00F33EC7" w:rsidP="00F33EC7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为充分发挥市、区一体化优势，促进市、区科技金融利益共享、协同发展，先期试行市、区联动模式。成熟运作后，引导鼓励县（市）参与，适时全市联动，促进全市科技金融一体化发展。</w:t>
      </w:r>
    </w:p>
    <w:p w14:paraId="5821E5CB" w14:textId="77777777" w:rsidR="00F33EC7" w:rsidRDefault="00F33EC7" w:rsidP="00F33EC7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</w:p>
    <w:p w14:paraId="277977F0" w14:textId="77777777" w:rsidR="00F33EC7" w:rsidRDefault="00F33EC7" w:rsidP="00F33EC7">
      <w:pPr>
        <w:spacing w:line="580" w:lineRule="exact"/>
        <w:ind w:firstLineChars="200" w:firstLine="640"/>
        <w:jc w:val="righ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（2015年9月11日印发）</w:t>
      </w:r>
    </w:p>
    <w:p w14:paraId="79FAE7D5" w14:textId="77777777" w:rsidR="00F33EC7" w:rsidRDefault="00F33EC7" w:rsidP="00F33EC7">
      <w:pPr>
        <w:widowControl/>
        <w:suppressAutoHyphens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sectPr w:rsidR="00F33EC7">
          <w:pgSz w:w="11906" w:h="16838"/>
          <w:pgMar w:top="2098" w:right="1474" w:bottom="1417" w:left="2154" w:header="850" w:footer="1247" w:gutter="0"/>
          <w:cols w:space="720"/>
          <w:docGrid w:type="lines" w:linePitch="312"/>
        </w:sectPr>
      </w:pPr>
    </w:p>
    <w:p w14:paraId="3DE03678" w14:textId="77777777" w:rsidR="003D4260" w:rsidRDefault="003D4260"/>
    <w:sectPr w:rsidR="003D4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27287" w14:textId="77777777" w:rsidR="00A34AD9" w:rsidRDefault="00A34AD9" w:rsidP="00F33EC7">
      <w:r>
        <w:separator/>
      </w:r>
    </w:p>
  </w:endnote>
  <w:endnote w:type="continuationSeparator" w:id="0">
    <w:p w14:paraId="67DADB64" w14:textId="77777777" w:rsidR="00A34AD9" w:rsidRDefault="00A34AD9" w:rsidP="00F3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SI小标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BF4C4" w14:textId="77777777" w:rsidR="00A34AD9" w:rsidRDefault="00A34AD9" w:rsidP="00F33EC7">
      <w:r>
        <w:separator/>
      </w:r>
    </w:p>
  </w:footnote>
  <w:footnote w:type="continuationSeparator" w:id="0">
    <w:p w14:paraId="1E48E0BE" w14:textId="77777777" w:rsidR="00A34AD9" w:rsidRDefault="00A34AD9" w:rsidP="00F33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DF"/>
    <w:rsid w:val="003D4260"/>
    <w:rsid w:val="00956EDF"/>
    <w:rsid w:val="00A34AD9"/>
    <w:rsid w:val="00F3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F30FA6-1434-4A22-B9DE-3FD70804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EC7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EC7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3E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3EC7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3E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BY</dc:creator>
  <cp:keywords/>
  <dc:description/>
  <cp:lastModifiedBy>H BY</cp:lastModifiedBy>
  <cp:revision>2</cp:revision>
  <dcterms:created xsi:type="dcterms:W3CDTF">2021-11-29T11:59:00Z</dcterms:created>
  <dcterms:modified xsi:type="dcterms:W3CDTF">2021-11-29T11:59:00Z</dcterms:modified>
</cp:coreProperties>
</file>