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7714" w14:textId="77777777" w:rsidR="000B579D" w:rsidRDefault="000B579D" w:rsidP="000B579D">
      <w:pPr>
        <w:widowControl/>
        <w:spacing w:line="580" w:lineRule="exact"/>
        <w:jc w:val="center"/>
        <w:outlineLvl w:val="1"/>
        <w:rPr>
          <w:rFonts w:ascii="方正小标宋_GBK" w:eastAsia="方正小标宋_GBK" w:hAnsi="方正小标宋_GBK" w:cs="方正小标宋_GBK" w:hint="eastAsia"/>
          <w:kern w:val="36"/>
          <w:sz w:val="44"/>
          <w:szCs w:val="44"/>
        </w:rPr>
      </w:pPr>
      <w:r>
        <w:rPr>
          <w:rFonts w:ascii="方正小标宋_GBK" w:eastAsia="方正小标宋_GBK" w:hAnsi="方正小标宋_GBK" w:cs="方正小标宋_GBK" w:hint="eastAsia"/>
          <w:kern w:val="36"/>
          <w:sz w:val="44"/>
          <w:szCs w:val="44"/>
        </w:rPr>
        <w:t>焦作市科学技术局</w:t>
      </w:r>
    </w:p>
    <w:p w14:paraId="53E02423" w14:textId="77777777" w:rsidR="000B579D" w:rsidRDefault="000B579D" w:rsidP="000B579D">
      <w:pPr>
        <w:widowControl/>
        <w:spacing w:line="580" w:lineRule="exact"/>
        <w:jc w:val="center"/>
        <w:outlineLvl w:val="1"/>
        <w:rPr>
          <w:rFonts w:ascii="方正小标宋_GBK" w:eastAsia="方正小标宋_GBK" w:hAnsi="方正小标宋_GBK" w:cs="方正小标宋_GBK" w:hint="eastAsia"/>
          <w:kern w:val="36"/>
          <w:sz w:val="44"/>
          <w:szCs w:val="44"/>
        </w:rPr>
      </w:pPr>
      <w:r>
        <w:rPr>
          <w:rFonts w:ascii="方正小标宋_GBK" w:eastAsia="方正小标宋_GBK" w:hAnsi="方正小标宋_GBK" w:cs="方正小标宋_GBK" w:hint="eastAsia"/>
          <w:kern w:val="36"/>
          <w:sz w:val="44"/>
          <w:szCs w:val="44"/>
        </w:rPr>
        <w:t>关于印发《焦作市市级科技计划不良信用行为记录暂行规定》的通知</w:t>
      </w:r>
    </w:p>
    <w:p w14:paraId="58D745E1" w14:textId="77777777" w:rsidR="000B579D" w:rsidRDefault="000B579D" w:rsidP="000B579D">
      <w:pPr>
        <w:spacing w:line="580" w:lineRule="exact"/>
        <w:jc w:val="center"/>
        <w:rPr>
          <w:rFonts w:ascii="仿宋_GB2312" w:eastAsia="仿宋_GB2312" w:hAnsi="仿宋_GB2312" w:cs="仿宋_GB2312" w:hint="eastAsia"/>
          <w:color w:val="2B2B2B"/>
          <w:kern w:val="0"/>
          <w:sz w:val="32"/>
          <w:szCs w:val="32"/>
        </w:rPr>
      </w:pPr>
      <w:proofErr w:type="gramStart"/>
      <w:r>
        <w:rPr>
          <w:rFonts w:ascii="仿宋_GB2312" w:eastAsia="仿宋_GB2312" w:hAnsi="仿宋_GB2312" w:cs="仿宋_GB2312" w:hint="eastAsia"/>
          <w:color w:val="2B2B2B"/>
          <w:kern w:val="0"/>
          <w:sz w:val="32"/>
          <w:szCs w:val="32"/>
        </w:rPr>
        <w:t>焦科〔2018〕</w:t>
      </w:r>
      <w:proofErr w:type="gramEnd"/>
      <w:r>
        <w:rPr>
          <w:rFonts w:ascii="仿宋_GB2312" w:eastAsia="仿宋_GB2312" w:hAnsi="仿宋_GB2312" w:cs="仿宋_GB2312" w:hint="eastAsia"/>
          <w:color w:val="2B2B2B"/>
          <w:kern w:val="0"/>
          <w:sz w:val="32"/>
          <w:szCs w:val="32"/>
        </w:rPr>
        <w:t>75号</w:t>
      </w:r>
    </w:p>
    <w:p w14:paraId="55A0A98B" w14:textId="77777777" w:rsidR="000B579D" w:rsidRDefault="000B579D" w:rsidP="000B579D">
      <w:pPr>
        <w:spacing w:line="580" w:lineRule="exact"/>
        <w:jc w:val="center"/>
        <w:rPr>
          <w:rFonts w:ascii="仿宋_GB2312" w:eastAsia="仿宋_GB2312" w:hAnsi="仿宋_GB2312" w:cs="仿宋_GB2312" w:hint="eastAsia"/>
          <w:color w:val="2B2B2B"/>
          <w:kern w:val="0"/>
          <w:sz w:val="32"/>
          <w:szCs w:val="32"/>
        </w:rPr>
      </w:pPr>
    </w:p>
    <w:p w14:paraId="0F952D6A" w14:textId="77777777" w:rsidR="000B579D" w:rsidRDefault="000B579D" w:rsidP="000B579D">
      <w:pPr>
        <w:widowControl/>
        <w:shd w:val="clear" w:color="auto" w:fill="FFFFFF"/>
        <w:spacing w:line="580" w:lineRule="exact"/>
        <w:jc w:val="left"/>
        <w:rPr>
          <w:rFonts w:ascii="楷体" w:eastAsia="楷体" w:hAnsi="楷体" w:cs="楷体" w:hint="eastAsia"/>
          <w:color w:val="2B2B2B"/>
          <w:kern w:val="0"/>
          <w:sz w:val="32"/>
          <w:szCs w:val="32"/>
        </w:rPr>
      </w:pPr>
      <w:r>
        <w:rPr>
          <w:rFonts w:ascii="楷体" w:eastAsia="楷体" w:hAnsi="楷体" w:cs="楷体" w:hint="eastAsia"/>
          <w:color w:val="000000"/>
          <w:kern w:val="0"/>
          <w:sz w:val="32"/>
          <w:szCs w:val="32"/>
        </w:rPr>
        <w:t>各县（市）区科技主管部门，市直有关部门，各有关单位：</w:t>
      </w:r>
    </w:p>
    <w:p w14:paraId="68FBEEE8" w14:textId="77777777" w:rsidR="000B579D" w:rsidRDefault="000B579D" w:rsidP="000B579D">
      <w:pPr>
        <w:widowControl/>
        <w:shd w:val="clear" w:color="auto" w:fill="FFFFFF"/>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为规范市级科技计划管理工作，加强科研信用体系建设，推进依法行政，净化科研风气，构筑诚实守信的科技创新环境氛围，根据国家有关法律法规和国家、省有关政策文件，我们制定了《焦作市市级科技计划不良信用行为记录暂行规定》。现印发给你们，请遵照执行。</w:t>
      </w:r>
    </w:p>
    <w:p w14:paraId="24092B5A" w14:textId="77777777" w:rsidR="000B579D" w:rsidRDefault="000B579D" w:rsidP="000B579D">
      <w:pPr>
        <w:widowControl/>
        <w:shd w:val="clear" w:color="auto" w:fill="FFFFFF"/>
        <w:spacing w:line="580" w:lineRule="exact"/>
        <w:ind w:firstLineChars="200" w:firstLine="640"/>
        <w:jc w:val="left"/>
        <w:rPr>
          <w:rFonts w:ascii="仿宋_GB2312" w:eastAsia="仿宋_GB2312" w:hAnsi="仿宋_GB2312" w:cs="仿宋_GB2312" w:hint="eastAsia"/>
          <w:color w:val="2B2B2B"/>
          <w:kern w:val="0"/>
          <w:sz w:val="32"/>
          <w:szCs w:val="32"/>
        </w:rPr>
      </w:pPr>
    </w:p>
    <w:p w14:paraId="0ED0D2D9"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附件：</w:t>
      </w:r>
      <w:proofErr w:type="gramStart"/>
      <w:r>
        <w:rPr>
          <w:rFonts w:ascii="仿宋_GB2312" w:eastAsia="仿宋_GB2312" w:hAnsi="仿宋_GB2312" w:cs="仿宋_GB2312" w:hint="eastAsia"/>
          <w:color w:val="2B2B2B"/>
          <w:kern w:val="0"/>
          <w:sz w:val="32"/>
          <w:szCs w:val="32"/>
        </w:rPr>
        <w:t>《</w:t>
      </w:r>
      <w:proofErr w:type="gramEnd"/>
      <w:r>
        <w:rPr>
          <w:rFonts w:ascii="仿宋_GB2312" w:eastAsia="仿宋_GB2312" w:hAnsi="仿宋_GB2312" w:cs="仿宋_GB2312" w:hint="eastAsia"/>
          <w:color w:val="2B2B2B"/>
          <w:kern w:val="0"/>
          <w:sz w:val="32"/>
          <w:szCs w:val="32"/>
        </w:rPr>
        <w:t>焦作市市级科技计划不良信用行为记录暂行</w:t>
      </w:r>
      <w:proofErr w:type="gramStart"/>
      <w:r>
        <w:rPr>
          <w:rFonts w:ascii="仿宋_GB2312" w:eastAsia="仿宋_GB2312" w:hAnsi="仿宋_GB2312" w:cs="仿宋_GB2312" w:hint="eastAsia"/>
          <w:color w:val="2B2B2B"/>
          <w:kern w:val="0"/>
          <w:sz w:val="32"/>
          <w:szCs w:val="32"/>
        </w:rPr>
        <w:t>规</w:t>
      </w:r>
      <w:proofErr w:type="gramEnd"/>
    </w:p>
    <w:p w14:paraId="7C357651" w14:textId="77777777" w:rsidR="000B579D" w:rsidRDefault="000B579D" w:rsidP="000B579D">
      <w:pPr>
        <w:widowControl/>
        <w:spacing w:line="580" w:lineRule="exact"/>
        <w:ind w:firstLineChars="500" w:firstLine="160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定》</w:t>
      </w:r>
    </w:p>
    <w:p w14:paraId="2A08F711" w14:textId="77777777" w:rsidR="000B579D" w:rsidRDefault="000B579D" w:rsidP="000B579D">
      <w:pPr>
        <w:widowControl/>
        <w:spacing w:before="100" w:beforeAutospacing="1" w:after="100" w:afterAutospacing="1" w:line="580" w:lineRule="exact"/>
        <w:ind w:right="320"/>
        <w:jc w:val="center"/>
        <w:rPr>
          <w:rFonts w:ascii="仿宋_GB2312" w:eastAsia="仿宋_GB2312" w:hAnsi="仿宋_GB2312" w:cs="仿宋_GB2312" w:hint="eastAsia"/>
          <w:color w:val="2B2B2B"/>
          <w:kern w:val="0"/>
          <w:sz w:val="32"/>
          <w:szCs w:val="32"/>
        </w:rPr>
      </w:pPr>
      <w:r>
        <w:rPr>
          <w:rFonts w:ascii="仿宋_GB2312" w:eastAsia="仿宋_GB2312" w:hAnsi="仿宋_GB2312" w:cs="仿宋_GB2312"/>
          <w:color w:val="2B2B2B"/>
          <w:kern w:val="0"/>
          <w:sz w:val="32"/>
          <w:szCs w:val="32"/>
        </w:rPr>
        <w:t xml:space="preserve">                       </w:t>
      </w:r>
      <w:r>
        <w:rPr>
          <w:rFonts w:ascii="仿宋_GB2312" w:eastAsia="仿宋_GB2312" w:hAnsi="仿宋_GB2312" w:cs="仿宋_GB2312" w:hint="eastAsia"/>
          <w:color w:val="2B2B2B"/>
          <w:kern w:val="0"/>
          <w:sz w:val="32"/>
          <w:szCs w:val="32"/>
        </w:rPr>
        <w:t>2018年11月26日</w:t>
      </w:r>
    </w:p>
    <w:p w14:paraId="34FB018C" w14:textId="77777777" w:rsidR="000B579D" w:rsidRDefault="000B579D" w:rsidP="000B579D">
      <w:pPr>
        <w:widowControl/>
        <w:spacing w:before="100" w:beforeAutospacing="1" w:after="100" w:afterAutospacing="1" w:line="580" w:lineRule="exact"/>
        <w:jc w:val="left"/>
        <w:rPr>
          <w:rFonts w:ascii="仿宋_GB2312" w:eastAsia="仿宋_GB2312" w:hAnsi="仿宋_GB2312" w:cs="仿宋_GB2312" w:hint="eastAsia"/>
          <w:color w:val="2B2B2B"/>
          <w:kern w:val="0"/>
          <w:sz w:val="28"/>
          <w:szCs w:val="28"/>
        </w:rPr>
      </w:pPr>
    </w:p>
    <w:p w14:paraId="1C771E72" w14:textId="77777777" w:rsidR="000B579D" w:rsidRDefault="000B579D" w:rsidP="000B579D">
      <w:pPr>
        <w:widowControl/>
        <w:spacing w:before="100" w:beforeAutospacing="1" w:after="100" w:afterAutospacing="1" w:line="580" w:lineRule="exact"/>
        <w:jc w:val="left"/>
        <w:rPr>
          <w:rFonts w:ascii="仿宋_GB2312" w:eastAsia="仿宋_GB2312" w:hAnsi="仿宋_GB2312" w:cs="仿宋_GB2312" w:hint="eastAsia"/>
          <w:color w:val="2B2B2B"/>
          <w:kern w:val="0"/>
          <w:sz w:val="28"/>
          <w:szCs w:val="28"/>
        </w:rPr>
      </w:pPr>
    </w:p>
    <w:p w14:paraId="20D7B2F0" w14:textId="77777777" w:rsidR="000B579D" w:rsidRDefault="000B579D" w:rsidP="000B579D">
      <w:pPr>
        <w:widowControl/>
        <w:spacing w:before="100" w:beforeAutospacing="1" w:after="100" w:afterAutospacing="1" w:line="580" w:lineRule="exact"/>
        <w:jc w:val="left"/>
        <w:rPr>
          <w:rFonts w:ascii="仿宋_GB2312" w:eastAsia="仿宋_GB2312" w:hAnsi="仿宋_GB2312" w:cs="仿宋_GB2312" w:hint="eastAsia"/>
          <w:color w:val="2B2B2B"/>
          <w:kern w:val="0"/>
          <w:sz w:val="28"/>
          <w:szCs w:val="28"/>
        </w:rPr>
      </w:pPr>
    </w:p>
    <w:p w14:paraId="0DF86B85" w14:textId="77777777" w:rsidR="000B579D" w:rsidRDefault="000B579D" w:rsidP="000B579D">
      <w:pPr>
        <w:widowControl/>
        <w:spacing w:before="100" w:beforeAutospacing="1" w:after="100" w:afterAutospacing="1" w:line="580" w:lineRule="exact"/>
        <w:jc w:val="left"/>
        <w:rPr>
          <w:rFonts w:ascii="仿宋_GB2312" w:eastAsia="仿宋_GB2312" w:hAnsi="仿宋_GB2312" w:cs="仿宋_GB2312" w:hint="eastAsia"/>
          <w:color w:val="2B2B2B"/>
          <w:kern w:val="0"/>
          <w:sz w:val="28"/>
          <w:szCs w:val="28"/>
        </w:rPr>
      </w:pPr>
    </w:p>
    <w:p w14:paraId="0E4187FD" w14:textId="77777777" w:rsidR="000B579D" w:rsidRDefault="000B579D" w:rsidP="000B579D">
      <w:pPr>
        <w:widowControl/>
        <w:spacing w:before="100" w:beforeAutospacing="1" w:after="100" w:afterAutospacing="1" w:line="580" w:lineRule="exact"/>
        <w:jc w:val="left"/>
        <w:rPr>
          <w:rFonts w:ascii="黑体" w:eastAsia="黑体" w:hAnsi="黑体" w:cs="黑体" w:hint="eastAsia"/>
          <w:color w:val="2B2B2B"/>
          <w:kern w:val="0"/>
          <w:sz w:val="32"/>
          <w:szCs w:val="32"/>
        </w:rPr>
      </w:pPr>
    </w:p>
    <w:p w14:paraId="030AB102" w14:textId="77777777" w:rsidR="000B579D" w:rsidRDefault="000B579D" w:rsidP="000B579D">
      <w:pPr>
        <w:widowControl/>
        <w:spacing w:before="100" w:beforeAutospacing="1" w:after="100" w:afterAutospacing="1" w:line="580" w:lineRule="exact"/>
        <w:jc w:val="left"/>
        <w:rPr>
          <w:rFonts w:ascii="黑体" w:eastAsia="黑体" w:hAnsi="黑体" w:cs="黑体" w:hint="eastAsia"/>
          <w:color w:val="2B2B2B"/>
          <w:kern w:val="0"/>
          <w:sz w:val="32"/>
          <w:szCs w:val="32"/>
        </w:rPr>
      </w:pPr>
      <w:r>
        <w:rPr>
          <w:rFonts w:ascii="黑体" w:eastAsia="黑体" w:hAnsi="黑体" w:cs="黑体" w:hint="eastAsia"/>
          <w:color w:val="2B2B2B"/>
          <w:kern w:val="0"/>
          <w:sz w:val="32"/>
          <w:szCs w:val="32"/>
        </w:rPr>
        <w:t>附件：</w:t>
      </w:r>
    </w:p>
    <w:p w14:paraId="4C3540C4" w14:textId="77777777" w:rsidR="000B579D" w:rsidRDefault="000B579D" w:rsidP="000B579D">
      <w:pPr>
        <w:widowControl/>
        <w:spacing w:line="580" w:lineRule="exact"/>
        <w:jc w:val="center"/>
        <w:rPr>
          <w:rFonts w:ascii="方正小标宋_GBK" w:eastAsia="方正小标宋_GBK" w:hAnsi="方正小标宋_GBK" w:cs="方正小标宋_GBK" w:hint="eastAsia"/>
          <w:bCs/>
          <w:color w:val="2B2B2B"/>
          <w:kern w:val="0"/>
          <w:sz w:val="44"/>
          <w:szCs w:val="44"/>
        </w:rPr>
      </w:pPr>
      <w:r>
        <w:rPr>
          <w:rFonts w:ascii="方正小标宋_GBK" w:eastAsia="方正小标宋_GBK" w:hAnsi="方正小标宋_GBK" w:cs="方正小标宋_GBK" w:hint="eastAsia"/>
          <w:bCs/>
          <w:color w:val="2B2B2B"/>
          <w:kern w:val="0"/>
          <w:sz w:val="44"/>
          <w:szCs w:val="44"/>
        </w:rPr>
        <w:t xml:space="preserve">焦作市市级科技计划不良信用行为 </w:t>
      </w:r>
    </w:p>
    <w:p w14:paraId="32026B09" w14:textId="77777777" w:rsidR="000B579D" w:rsidRDefault="000B579D" w:rsidP="000B579D">
      <w:pPr>
        <w:widowControl/>
        <w:spacing w:line="580" w:lineRule="exact"/>
        <w:jc w:val="center"/>
        <w:rPr>
          <w:rFonts w:ascii="方正小标宋_GBK" w:eastAsia="方正小标宋_GBK" w:hAnsi="方正小标宋_GBK" w:cs="方正小标宋_GBK" w:hint="eastAsia"/>
          <w:bCs/>
          <w:color w:val="2B2B2B"/>
          <w:kern w:val="0"/>
          <w:sz w:val="44"/>
          <w:szCs w:val="44"/>
        </w:rPr>
      </w:pPr>
      <w:r>
        <w:rPr>
          <w:rFonts w:ascii="方正小标宋_GBK" w:eastAsia="方正小标宋_GBK" w:hAnsi="方正小标宋_GBK" w:cs="方正小标宋_GBK" w:hint="eastAsia"/>
          <w:bCs/>
          <w:color w:val="2B2B2B"/>
          <w:kern w:val="0"/>
          <w:sz w:val="44"/>
          <w:szCs w:val="44"/>
        </w:rPr>
        <w:t>记录暂行规定</w:t>
      </w:r>
    </w:p>
    <w:p w14:paraId="21D0FBDB" w14:textId="77777777" w:rsidR="000B579D" w:rsidRDefault="000B579D" w:rsidP="000B579D">
      <w:pPr>
        <w:widowControl/>
        <w:spacing w:beforeLines="150" w:before="468" w:line="580" w:lineRule="exact"/>
        <w:jc w:val="center"/>
        <w:rPr>
          <w:rFonts w:ascii="黑体" w:eastAsia="黑体" w:hAnsi="黑体" w:cs="宋体"/>
          <w:color w:val="2B2B2B"/>
          <w:kern w:val="0"/>
          <w:sz w:val="32"/>
          <w:szCs w:val="32"/>
        </w:rPr>
      </w:pPr>
      <w:r>
        <w:rPr>
          <w:rFonts w:ascii="黑体" w:eastAsia="黑体" w:hAnsi="黑体" w:cs="宋体" w:hint="eastAsia"/>
          <w:bCs/>
          <w:color w:val="2B2B2B"/>
          <w:kern w:val="0"/>
          <w:sz w:val="32"/>
          <w:szCs w:val="32"/>
        </w:rPr>
        <w:t>第一章 总 则</w:t>
      </w:r>
    </w:p>
    <w:p w14:paraId="695AD440" w14:textId="77777777" w:rsidR="000B579D" w:rsidRDefault="000B579D" w:rsidP="000B579D">
      <w:pPr>
        <w:widowControl/>
        <w:spacing w:line="580" w:lineRule="exact"/>
        <w:ind w:firstLineChars="200" w:firstLine="640"/>
        <w:rPr>
          <w:rFonts w:ascii="仿宋" w:eastAsia="仿宋" w:hAnsi="仿宋" w:cs="宋体"/>
          <w:color w:val="2B2B2B"/>
          <w:kern w:val="0"/>
          <w:sz w:val="32"/>
          <w:szCs w:val="32"/>
        </w:rPr>
      </w:pPr>
      <w:r>
        <w:rPr>
          <w:rFonts w:ascii="楷体" w:eastAsia="楷体" w:hAnsi="楷体" w:cs="楷体" w:hint="eastAsia"/>
          <w:color w:val="2B2B2B"/>
          <w:kern w:val="0"/>
          <w:sz w:val="32"/>
          <w:szCs w:val="32"/>
        </w:rPr>
        <w:t>第一条</w:t>
      </w:r>
      <w:r>
        <w:rPr>
          <w:rFonts w:ascii="宋体" w:hAnsi="宋体"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为加强科研信用体系建设，构筑诚实守信的科技创新环境氛围，规范市级财政科技计划（以下简称科技计划）相关管理工作，推进依法行政，根据《国家科技计划（专项、基金等）严重失信行为记录暂行规定》（国科发政〔2016〕97号）、《河南省人民政府关于深化省级财政科技计划和资金管理改革的意见》（豫政〔2015〕2号）、《河南省人民政府关于加快推进社会信用体系建设的指导意见》（豫政〔2014〕31号）、《关于建立完善守信联合激励和失信联合惩戒制度加快推进社会诚信建设实施方案》（豫政〔2016〕65号）、《关于印发&lt;河南省省级科技计划不良信用行为记录暂行规定&gt;的通知》（</w:t>
      </w:r>
      <w:proofErr w:type="gramStart"/>
      <w:r>
        <w:rPr>
          <w:rFonts w:ascii="仿宋_GB2312" w:eastAsia="仿宋_GB2312" w:hAnsi="仿宋_GB2312" w:cs="仿宋_GB2312" w:hint="eastAsia"/>
          <w:color w:val="2B2B2B"/>
          <w:kern w:val="0"/>
          <w:sz w:val="32"/>
          <w:szCs w:val="32"/>
        </w:rPr>
        <w:t>豫科〔2017〕</w:t>
      </w:r>
      <w:proofErr w:type="gramEnd"/>
      <w:r>
        <w:rPr>
          <w:rFonts w:ascii="仿宋_GB2312" w:eastAsia="仿宋_GB2312" w:hAnsi="仿宋_GB2312" w:cs="仿宋_GB2312" w:hint="eastAsia"/>
          <w:color w:val="2B2B2B"/>
          <w:kern w:val="0"/>
          <w:sz w:val="32"/>
          <w:szCs w:val="32"/>
        </w:rPr>
        <w:t>161号）和有关法律法规，制定本规定。</w:t>
      </w:r>
    </w:p>
    <w:p w14:paraId="5C8D9754" w14:textId="77777777" w:rsidR="000B579D" w:rsidRDefault="000B579D" w:rsidP="000B579D">
      <w:pPr>
        <w:widowControl/>
        <w:spacing w:line="580" w:lineRule="exact"/>
        <w:ind w:firstLineChars="200" w:firstLine="640"/>
        <w:rPr>
          <w:rFonts w:ascii="仿宋" w:eastAsia="仿宋" w:hAnsi="仿宋" w:cs="宋体"/>
          <w:color w:val="2B2B2B"/>
          <w:kern w:val="0"/>
          <w:sz w:val="32"/>
          <w:szCs w:val="32"/>
        </w:rPr>
      </w:pPr>
      <w:r>
        <w:rPr>
          <w:rFonts w:ascii="楷体" w:eastAsia="楷体" w:hAnsi="楷体" w:cs="楷体" w:hint="eastAsia"/>
          <w:color w:val="2B2B2B"/>
          <w:kern w:val="0"/>
          <w:sz w:val="32"/>
          <w:szCs w:val="32"/>
        </w:rPr>
        <w:t>第二条</w:t>
      </w:r>
      <w:r>
        <w:rPr>
          <w:rFonts w:ascii="仿宋" w:eastAsia="仿宋" w:hAnsi="仿宋"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本规定适用于使用市财政资金投入的科技重大专项、事前拨款科技计划、后补助科技计划等各类科技计划项目的申报立项、组织实施、结项（验收）等全过程管理。其他各类科技创新平台、载体、企业、奖励等的评审、验收管理过程可参考本办法执行。</w:t>
      </w:r>
    </w:p>
    <w:p w14:paraId="3EF369ED" w14:textId="77777777" w:rsidR="000B579D" w:rsidRDefault="000B579D" w:rsidP="000B579D">
      <w:pPr>
        <w:widowControl/>
        <w:spacing w:line="580" w:lineRule="exact"/>
        <w:ind w:firstLineChars="200" w:firstLine="640"/>
        <w:rPr>
          <w:rFonts w:ascii="仿宋_GB2312" w:eastAsia="仿宋_GB2312" w:hAnsi="仿宋_GB2312" w:cs="仿宋_GB2312" w:hint="eastAsia"/>
          <w:color w:val="2B2B2B"/>
          <w:kern w:val="0"/>
          <w:sz w:val="32"/>
          <w:szCs w:val="32"/>
        </w:rPr>
      </w:pPr>
      <w:r>
        <w:rPr>
          <w:rFonts w:ascii="楷体" w:eastAsia="楷体" w:hAnsi="楷体" w:cs="楷体" w:hint="eastAsia"/>
          <w:color w:val="2B2B2B"/>
          <w:kern w:val="0"/>
          <w:sz w:val="32"/>
          <w:szCs w:val="32"/>
        </w:rPr>
        <w:t>第三条</w:t>
      </w:r>
      <w:r>
        <w:rPr>
          <w:rFonts w:ascii="仿宋" w:eastAsia="仿宋" w:hAnsi="仿宋"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 xml:space="preserve"> 本规定的记录对象为在参与科技计划、项目组织管理或实施中存在不良信用行为的相关责任主体，主要包括有关项目承担人员、咨询评审专家等自然人，以及项目申报（承担）单位、第三</w:t>
      </w:r>
      <w:proofErr w:type="gramStart"/>
      <w:r>
        <w:rPr>
          <w:rFonts w:ascii="仿宋_GB2312" w:eastAsia="仿宋_GB2312" w:hAnsi="仿宋_GB2312" w:cs="仿宋_GB2312" w:hint="eastAsia"/>
          <w:color w:val="2B2B2B"/>
          <w:kern w:val="0"/>
          <w:sz w:val="32"/>
          <w:szCs w:val="32"/>
        </w:rPr>
        <w:t>方服务</w:t>
      </w:r>
      <w:proofErr w:type="gramEnd"/>
      <w:r>
        <w:rPr>
          <w:rFonts w:ascii="仿宋_GB2312" w:eastAsia="仿宋_GB2312" w:hAnsi="仿宋_GB2312" w:cs="仿宋_GB2312" w:hint="eastAsia"/>
          <w:color w:val="2B2B2B"/>
          <w:kern w:val="0"/>
          <w:sz w:val="32"/>
          <w:szCs w:val="32"/>
        </w:rPr>
        <w:t>机构（包括第三方评估（评审）机构、会计师事务所等）等法人单位。</w:t>
      </w:r>
    </w:p>
    <w:p w14:paraId="1B337EF8" w14:textId="77777777" w:rsidR="000B579D" w:rsidRDefault="000B579D" w:rsidP="000B579D">
      <w:pPr>
        <w:widowControl/>
        <w:spacing w:line="580" w:lineRule="exact"/>
        <w:ind w:firstLineChars="200" w:firstLine="640"/>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政府工作人员在科技计划和项目管理工作中存在不良信用行为的，依据公务员法及其相关规定进行处理。</w:t>
      </w:r>
    </w:p>
    <w:p w14:paraId="219AA9B7" w14:textId="77777777" w:rsidR="000B579D" w:rsidRDefault="000B579D" w:rsidP="000B579D">
      <w:pPr>
        <w:widowControl/>
        <w:spacing w:line="580" w:lineRule="exact"/>
        <w:ind w:firstLineChars="250" w:firstLine="800"/>
        <w:rPr>
          <w:rFonts w:ascii="仿宋_GB2312" w:eastAsia="仿宋_GB2312" w:hAnsi="仿宋_GB2312" w:cs="仿宋_GB2312" w:hint="eastAsia"/>
          <w:color w:val="2B2B2B"/>
          <w:kern w:val="0"/>
          <w:sz w:val="32"/>
          <w:szCs w:val="32"/>
        </w:rPr>
      </w:pPr>
      <w:r>
        <w:rPr>
          <w:rFonts w:ascii="楷体" w:eastAsia="楷体" w:hAnsi="楷体" w:cs="楷体" w:hint="eastAsia"/>
          <w:color w:val="2B2B2B"/>
          <w:kern w:val="0"/>
          <w:sz w:val="32"/>
          <w:szCs w:val="32"/>
        </w:rPr>
        <w:t>第四条</w:t>
      </w:r>
      <w:r>
        <w:rPr>
          <w:rFonts w:ascii="仿宋" w:eastAsia="仿宋" w:hAnsi="仿宋"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本规定所指不良信用行为包括组织实施过失和严重失信行为。</w:t>
      </w:r>
    </w:p>
    <w:p w14:paraId="456D9F1B" w14:textId="77777777" w:rsidR="000B579D" w:rsidRDefault="000B579D" w:rsidP="000B579D">
      <w:pPr>
        <w:widowControl/>
        <w:spacing w:line="580" w:lineRule="exact"/>
        <w:ind w:firstLineChars="200" w:firstLine="640"/>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组织实施过失指由于科技计划和项目的相关责任主体管理不力、监管不严、措施不当、不尽责等，而造成科技计划项目没有顺利实施，情节严重者导致科技计划项目被终止、验收未通过的行为。</w:t>
      </w:r>
    </w:p>
    <w:p w14:paraId="197DAF8B" w14:textId="77777777" w:rsidR="000B579D" w:rsidRDefault="000B579D" w:rsidP="000B579D">
      <w:pPr>
        <w:spacing w:line="580" w:lineRule="exact"/>
        <w:ind w:firstLineChars="200" w:firstLine="640"/>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严重失信行为是指经有关部门、机构查处认定的，科技计划和项目相关责任主体在项目申报、立项、实施、管理、验收、咨询评审评估等全过程中发生的科研不端、违规、违纪和违法，以及拒绝配合科技管理、项目主管部门正常履行项目管理职责，造成严重后果和恶劣影响的行为。</w:t>
      </w:r>
    </w:p>
    <w:p w14:paraId="05C42E15" w14:textId="77777777" w:rsidR="000B579D" w:rsidRDefault="000B579D" w:rsidP="000B579D">
      <w:pPr>
        <w:spacing w:line="580" w:lineRule="exact"/>
        <w:ind w:firstLineChars="200" w:firstLine="640"/>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第五条  建立不良信用行为数据库，不良信用行为记录应当覆盖科技计划、项目管理和实施的相关责任主体。</w:t>
      </w:r>
    </w:p>
    <w:p w14:paraId="52289326" w14:textId="77777777" w:rsidR="000B579D" w:rsidRDefault="000B579D" w:rsidP="000B579D">
      <w:pPr>
        <w:widowControl/>
        <w:spacing w:line="580" w:lineRule="exact"/>
        <w:jc w:val="center"/>
        <w:rPr>
          <w:rFonts w:ascii="黑体" w:eastAsia="黑体" w:hAnsi="黑体" w:cs="宋体" w:hint="eastAsia"/>
          <w:bCs/>
          <w:color w:val="2B2B2B"/>
          <w:kern w:val="0"/>
          <w:sz w:val="32"/>
          <w:szCs w:val="32"/>
        </w:rPr>
      </w:pPr>
    </w:p>
    <w:p w14:paraId="79A2097E" w14:textId="77777777" w:rsidR="000B579D" w:rsidRDefault="000B579D" w:rsidP="000B579D">
      <w:pPr>
        <w:widowControl/>
        <w:spacing w:line="580" w:lineRule="exact"/>
        <w:jc w:val="center"/>
        <w:rPr>
          <w:rFonts w:ascii="黑体" w:eastAsia="黑体" w:hAnsi="黑体" w:cs="宋体"/>
          <w:color w:val="2B2B2B"/>
          <w:kern w:val="0"/>
          <w:sz w:val="32"/>
          <w:szCs w:val="32"/>
        </w:rPr>
      </w:pPr>
      <w:r>
        <w:rPr>
          <w:rFonts w:ascii="黑体" w:eastAsia="黑体" w:hAnsi="黑体" w:cs="宋体" w:hint="eastAsia"/>
          <w:bCs/>
          <w:color w:val="2B2B2B"/>
          <w:kern w:val="0"/>
          <w:sz w:val="32"/>
          <w:szCs w:val="32"/>
        </w:rPr>
        <w:t>第二章 组织实施过失</w:t>
      </w:r>
    </w:p>
    <w:p w14:paraId="58532E2B"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楷体" w:eastAsia="楷体" w:hAnsi="楷体" w:cs="楷体" w:hint="eastAsia"/>
          <w:color w:val="2B2B2B"/>
          <w:kern w:val="0"/>
          <w:sz w:val="32"/>
          <w:szCs w:val="32"/>
        </w:rPr>
        <w:t>第六条</w:t>
      </w:r>
      <w:r>
        <w:rPr>
          <w:rFonts w:ascii="仿宋" w:eastAsia="仿宋" w:hAnsi="仿宋"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项目承担人员、项目承担单位在参与科技计划、项目管理和实施过程中，存在下列行为之一的，属于组织实施过失：</w:t>
      </w:r>
    </w:p>
    <w:p w14:paraId="0A1F0A28" w14:textId="77777777" w:rsidR="000B579D" w:rsidRDefault="000B579D" w:rsidP="000B579D">
      <w:pPr>
        <w:widowControl/>
        <w:spacing w:line="580" w:lineRule="exact"/>
        <w:ind w:firstLineChars="100" w:firstLine="32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（一）因项目承担人员组织管理不到位，或项目承担单位未能提供应有的管理服务保障，导致项目在年度检查、考核或中期评估中结论为“终止实施”，或项目结项（验收）结论为“不通过”的；</w:t>
      </w:r>
    </w:p>
    <w:p w14:paraId="63D54E89" w14:textId="77777777" w:rsidR="000B579D" w:rsidRDefault="000B579D" w:rsidP="000B579D">
      <w:pPr>
        <w:widowControl/>
        <w:spacing w:line="580" w:lineRule="exact"/>
        <w:ind w:firstLineChars="100" w:firstLine="32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（二）项目承担人员在项目执行过程中研究内容、技术经济指标、工作进度、经费、协作单位及课题组成员等未按照相关规定和程序上报擅自变更调整的，或发现重大问题未及时上报影响项目执行的；</w:t>
      </w:r>
    </w:p>
    <w:p w14:paraId="0932CBD8" w14:textId="77777777" w:rsidR="000B579D" w:rsidRDefault="000B579D" w:rsidP="000B579D">
      <w:pPr>
        <w:widowControl/>
        <w:spacing w:line="580" w:lineRule="exact"/>
        <w:ind w:firstLineChars="100" w:firstLine="32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（三）项目承担人员或项目承担单位在项目计划实施期满，未按照相关管理办法按时向主管部门提出结项（验收）申请或延期申请的；</w:t>
      </w:r>
    </w:p>
    <w:p w14:paraId="7CC2CA6C" w14:textId="77777777" w:rsidR="000B579D" w:rsidRDefault="000B579D" w:rsidP="000B579D">
      <w:pPr>
        <w:widowControl/>
        <w:spacing w:line="580" w:lineRule="exact"/>
        <w:ind w:firstLineChars="100" w:firstLine="32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（四）项目承担人员和项目承担单位未与有关协作人员或单位约定知识产权管理事项，造成知识产权纠纷的；</w:t>
      </w:r>
    </w:p>
    <w:p w14:paraId="57DC90D6" w14:textId="77777777" w:rsidR="000B579D" w:rsidRDefault="000B579D" w:rsidP="000B579D">
      <w:pPr>
        <w:widowControl/>
        <w:spacing w:line="580" w:lineRule="exact"/>
        <w:ind w:firstLineChars="100" w:firstLine="32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 xml:space="preserve">（五）其他因失职行为，对项目实施造成不良后果的。 </w:t>
      </w:r>
    </w:p>
    <w:p w14:paraId="43AD4878" w14:textId="77777777" w:rsidR="000B579D" w:rsidRDefault="000B579D" w:rsidP="000B579D">
      <w:pPr>
        <w:widowControl/>
        <w:spacing w:line="580" w:lineRule="exact"/>
        <w:ind w:firstLineChars="200" w:firstLine="640"/>
        <w:rPr>
          <w:rFonts w:ascii="仿宋_GB2312" w:eastAsia="仿宋_GB2312" w:hAnsi="仿宋_GB2312" w:cs="仿宋_GB2312" w:hint="eastAsia"/>
          <w:color w:val="2B2B2B"/>
          <w:kern w:val="0"/>
          <w:sz w:val="32"/>
          <w:szCs w:val="32"/>
        </w:rPr>
      </w:pPr>
      <w:r>
        <w:rPr>
          <w:rFonts w:ascii="楷体" w:eastAsia="楷体" w:hAnsi="楷体" w:cs="楷体" w:hint="eastAsia"/>
          <w:color w:val="2B2B2B"/>
          <w:kern w:val="0"/>
          <w:sz w:val="32"/>
          <w:szCs w:val="32"/>
        </w:rPr>
        <w:t>第七条</w:t>
      </w:r>
      <w:r>
        <w:rPr>
          <w:rFonts w:ascii="仿宋" w:eastAsia="仿宋" w:hAnsi="仿宋"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咨询评审专家在参与科技计划项目评价过程中，存在下列行为之一的，属于组织实施过失：</w:t>
      </w:r>
    </w:p>
    <w:p w14:paraId="69C1FE8E" w14:textId="77777777" w:rsidR="000B579D" w:rsidRDefault="000B579D" w:rsidP="000B579D">
      <w:pPr>
        <w:widowControl/>
        <w:spacing w:line="580" w:lineRule="exact"/>
        <w:ind w:firstLineChars="200" w:firstLine="640"/>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（一）接受评估评审邀请，但未参加评估评审且未提前</w:t>
      </w:r>
    </w:p>
    <w:p w14:paraId="524F7B0E" w14:textId="77777777" w:rsidR="000B579D" w:rsidRDefault="000B579D" w:rsidP="000B579D">
      <w:pPr>
        <w:widowControl/>
        <w:spacing w:line="580" w:lineRule="exac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通知相关组织单位的；</w:t>
      </w:r>
    </w:p>
    <w:p w14:paraId="4E30B063" w14:textId="77777777" w:rsidR="000B579D" w:rsidRDefault="000B579D" w:rsidP="000B579D">
      <w:pPr>
        <w:widowControl/>
        <w:spacing w:line="580" w:lineRule="exact"/>
        <w:ind w:firstLineChars="200" w:firstLine="640"/>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（二）评估评审过程中发现应当回避的情形但没有主动回避的；</w:t>
      </w:r>
    </w:p>
    <w:p w14:paraId="3CEB99CF" w14:textId="77777777" w:rsidR="000B579D" w:rsidRDefault="000B579D" w:rsidP="000B579D">
      <w:pPr>
        <w:widowControl/>
        <w:spacing w:line="580" w:lineRule="exact"/>
        <w:ind w:firstLineChars="200" w:firstLine="640"/>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（三）有封闭要求的评估评审过程中，未按照要求关闭或上缴通讯工具，且评估评审期间违规与外界发生联系的。</w:t>
      </w:r>
    </w:p>
    <w:p w14:paraId="35787DDB" w14:textId="77777777" w:rsidR="000B579D" w:rsidRDefault="000B579D" w:rsidP="000B579D">
      <w:pPr>
        <w:widowControl/>
        <w:spacing w:line="580" w:lineRule="exact"/>
        <w:ind w:firstLineChars="200" w:firstLine="640"/>
        <w:rPr>
          <w:rFonts w:ascii="仿宋_GB2312" w:eastAsia="仿宋_GB2312" w:hAnsi="仿宋_GB2312" w:cs="仿宋_GB2312" w:hint="eastAsia"/>
          <w:color w:val="2B2B2B"/>
          <w:kern w:val="0"/>
          <w:sz w:val="32"/>
          <w:szCs w:val="32"/>
        </w:rPr>
      </w:pPr>
      <w:r>
        <w:rPr>
          <w:rFonts w:ascii="楷体" w:eastAsia="楷体" w:hAnsi="楷体" w:cs="楷体" w:hint="eastAsia"/>
          <w:color w:val="2B2B2B"/>
          <w:kern w:val="0"/>
          <w:sz w:val="32"/>
          <w:szCs w:val="32"/>
        </w:rPr>
        <w:t>第八条</w:t>
      </w:r>
      <w:r>
        <w:rPr>
          <w:rFonts w:ascii="黑体" w:eastAsia="黑体" w:hAnsi="黑体"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第三方评估（评审）机构或会计师事务所等第三</w:t>
      </w:r>
      <w:proofErr w:type="gramStart"/>
      <w:r>
        <w:rPr>
          <w:rFonts w:ascii="仿宋_GB2312" w:eastAsia="仿宋_GB2312" w:hAnsi="仿宋_GB2312" w:cs="仿宋_GB2312" w:hint="eastAsia"/>
          <w:color w:val="2B2B2B"/>
          <w:kern w:val="0"/>
          <w:sz w:val="32"/>
          <w:szCs w:val="32"/>
        </w:rPr>
        <w:t>方服务</w:t>
      </w:r>
      <w:proofErr w:type="gramEnd"/>
      <w:r>
        <w:rPr>
          <w:rFonts w:ascii="仿宋_GB2312" w:eastAsia="仿宋_GB2312" w:hAnsi="仿宋_GB2312" w:cs="仿宋_GB2312" w:hint="eastAsia"/>
          <w:color w:val="2B2B2B"/>
          <w:kern w:val="0"/>
          <w:sz w:val="32"/>
          <w:szCs w:val="32"/>
        </w:rPr>
        <w:t>机构存在下列行为之一的，属于组织实施过失：</w:t>
      </w:r>
    </w:p>
    <w:p w14:paraId="6A81045C" w14:textId="77777777" w:rsidR="000B579D" w:rsidRDefault="000B579D" w:rsidP="000B579D">
      <w:pPr>
        <w:widowControl/>
        <w:spacing w:line="580" w:lineRule="exact"/>
        <w:ind w:firstLineChars="200" w:firstLine="640"/>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（一）第三方评估（评审）机构因组织管理不到位，导致项目评估评审过程中发生影响评估评审公正性事件，或导致保密信息泄露，未及时按照有关规定程序处理并上报市科技</w:t>
      </w:r>
      <w:proofErr w:type="gramStart"/>
      <w:r>
        <w:rPr>
          <w:rFonts w:ascii="仿宋_GB2312" w:eastAsia="仿宋_GB2312" w:hAnsi="仿宋_GB2312" w:cs="仿宋_GB2312" w:hint="eastAsia"/>
          <w:color w:val="2B2B2B"/>
          <w:kern w:val="0"/>
          <w:sz w:val="32"/>
          <w:szCs w:val="32"/>
        </w:rPr>
        <w:t>局相关</w:t>
      </w:r>
      <w:proofErr w:type="gramEnd"/>
      <w:r>
        <w:rPr>
          <w:rFonts w:ascii="仿宋_GB2312" w:eastAsia="仿宋_GB2312" w:hAnsi="仿宋_GB2312" w:cs="仿宋_GB2312" w:hint="eastAsia"/>
          <w:color w:val="2B2B2B"/>
          <w:kern w:val="0"/>
          <w:sz w:val="32"/>
          <w:szCs w:val="32"/>
        </w:rPr>
        <w:t>业务科室的；</w:t>
      </w:r>
    </w:p>
    <w:p w14:paraId="72913A66" w14:textId="77777777" w:rsidR="000B579D" w:rsidRDefault="000B579D" w:rsidP="000B579D">
      <w:pPr>
        <w:widowControl/>
        <w:spacing w:line="580" w:lineRule="exact"/>
        <w:ind w:firstLineChars="200" w:firstLine="640"/>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（二）会计师事务所未按照有关要求出具专项审计报告，在审计报告中不能完整反映相关指标，影响项目评估评审的。</w:t>
      </w:r>
    </w:p>
    <w:p w14:paraId="487A5A5C" w14:textId="77777777" w:rsidR="000B579D" w:rsidRDefault="000B579D" w:rsidP="000B579D">
      <w:pPr>
        <w:widowControl/>
        <w:spacing w:line="580" w:lineRule="exact"/>
        <w:ind w:firstLine="640"/>
        <w:rPr>
          <w:rFonts w:ascii="仿宋" w:eastAsia="仿宋" w:hAnsi="仿宋" w:cs="宋体" w:hint="eastAsia"/>
          <w:color w:val="2B2B2B"/>
          <w:kern w:val="0"/>
          <w:sz w:val="32"/>
          <w:szCs w:val="32"/>
        </w:rPr>
      </w:pPr>
      <w:r>
        <w:rPr>
          <w:rFonts w:ascii="楷体" w:eastAsia="楷体" w:hAnsi="楷体" w:cs="楷体" w:hint="eastAsia"/>
          <w:color w:val="2B2B2B"/>
          <w:kern w:val="0"/>
          <w:sz w:val="32"/>
          <w:szCs w:val="32"/>
        </w:rPr>
        <w:t xml:space="preserve">第九条 </w:t>
      </w:r>
      <w:r>
        <w:rPr>
          <w:rFonts w:ascii="仿宋_GB2312" w:eastAsia="仿宋_GB2312" w:hAnsi="仿宋_GB2312" w:cs="仿宋_GB2312" w:hint="eastAsia"/>
          <w:color w:val="2B2B2B"/>
          <w:kern w:val="0"/>
          <w:sz w:val="32"/>
          <w:szCs w:val="32"/>
        </w:rPr>
        <w:t>对于具有本规定第六条、第七条、第八条行为的责任主体，经市科技</w:t>
      </w:r>
      <w:proofErr w:type="gramStart"/>
      <w:r>
        <w:rPr>
          <w:rFonts w:ascii="仿宋_GB2312" w:eastAsia="仿宋_GB2312" w:hAnsi="仿宋_GB2312" w:cs="仿宋_GB2312" w:hint="eastAsia"/>
          <w:color w:val="2B2B2B"/>
          <w:kern w:val="0"/>
          <w:sz w:val="32"/>
          <w:szCs w:val="32"/>
        </w:rPr>
        <w:t>局相关</w:t>
      </w:r>
      <w:proofErr w:type="gramEnd"/>
      <w:r>
        <w:rPr>
          <w:rFonts w:ascii="仿宋_GB2312" w:eastAsia="仿宋_GB2312" w:hAnsi="仿宋_GB2312" w:cs="仿宋_GB2312" w:hint="eastAsia"/>
          <w:color w:val="2B2B2B"/>
          <w:kern w:val="0"/>
          <w:sz w:val="32"/>
          <w:szCs w:val="32"/>
        </w:rPr>
        <w:t>业务科室或第三方评估（评审）机构依据相关证明得出组织实施过失结论，并向责任主体通报无异议后，纳入组织实施过失记录。经通报</w:t>
      </w:r>
      <w:proofErr w:type="gramStart"/>
      <w:r>
        <w:rPr>
          <w:rFonts w:ascii="仿宋_GB2312" w:eastAsia="仿宋_GB2312" w:hAnsi="仿宋_GB2312" w:cs="仿宋_GB2312" w:hint="eastAsia"/>
          <w:color w:val="2B2B2B"/>
          <w:kern w:val="0"/>
          <w:sz w:val="32"/>
          <w:szCs w:val="32"/>
        </w:rPr>
        <w:t>后责任</w:t>
      </w:r>
      <w:proofErr w:type="gramEnd"/>
      <w:r>
        <w:rPr>
          <w:rFonts w:ascii="仿宋_GB2312" w:eastAsia="仿宋_GB2312" w:hAnsi="仿宋_GB2312" w:cs="仿宋_GB2312" w:hint="eastAsia"/>
          <w:color w:val="2B2B2B"/>
          <w:kern w:val="0"/>
          <w:sz w:val="32"/>
          <w:szCs w:val="32"/>
        </w:rPr>
        <w:t>主体提出异议的，应提供支持异议的相关证据，由市科技</w:t>
      </w:r>
      <w:proofErr w:type="gramStart"/>
      <w:r>
        <w:rPr>
          <w:rFonts w:ascii="仿宋_GB2312" w:eastAsia="仿宋_GB2312" w:hAnsi="仿宋_GB2312" w:cs="仿宋_GB2312" w:hint="eastAsia"/>
          <w:color w:val="2B2B2B"/>
          <w:kern w:val="0"/>
          <w:sz w:val="32"/>
          <w:szCs w:val="32"/>
        </w:rPr>
        <w:t>局相关</w:t>
      </w:r>
      <w:proofErr w:type="gramEnd"/>
      <w:r>
        <w:rPr>
          <w:rFonts w:ascii="仿宋_GB2312" w:eastAsia="仿宋_GB2312" w:hAnsi="仿宋_GB2312" w:cs="仿宋_GB2312" w:hint="eastAsia"/>
          <w:color w:val="2B2B2B"/>
          <w:kern w:val="0"/>
          <w:sz w:val="32"/>
          <w:szCs w:val="32"/>
        </w:rPr>
        <w:t>业务科室综合评判是否纳入组织实施过失记录。组织管理过失记录应在组织管理过失发生后30天内完成。记录信息包括责任主体名称、所涉及的计划类别、项目名称、组织实施过失情形。</w:t>
      </w:r>
    </w:p>
    <w:p w14:paraId="18E94647" w14:textId="77777777" w:rsidR="000B579D" w:rsidRDefault="000B579D" w:rsidP="000B579D">
      <w:pPr>
        <w:widowControl/>
        <w:spacing w:line="580" w:lineRule="exact"/>
        <w:ind w:firstLine="640"/>
        <w:rPr>
          <w:rFonts w:ascii="仿宋" w:eastAsia="仿宋" w:hAnsi="仿宋" w:cs="宋体" w:hint="eastAsia"/>
          <w:color w:val="2B2B2B"/>
          <w:kern w:val="0"/>
          <w:sz w:val="32"/>
          <w:szCs w:val="32"/>
        </w:rPr>
      </w:pPr>
    </w:p>
    <w:p w14:paraId="4839D6E0" w14:textId="77777777" w:rsidR="000B579D" w:rsidRDefault="000B579D" w:rsidP="000B579D">
      <w:pPr>
        <w:widowControl/>
        <w:spacing w:line="580" w:lineRule="exact"/>
        <w:jc w:val="center"/>
        <w:rPr>
          <w:rFonts w:ascii="黑体" w:eastAsia="黑体" w:hAnsi="黑体" w:cs="宋体"/>
          <w:color w:val="2B2B2B"/>
          <w:kern w:val="0"/>
          <w:sz w:val="32"/>
          <w:szCs w:val="32"/>
        </w:rPr>
      </w:pPr>
      <w:r>
        <w:rPr>
          <w:rFonts w:ascii="黑体" w:eastAsia="黑体" w:hAnsi="黑体" w:cs="宋体" w:hint="eastAsia"/>
          <w:bCs/>
          <w:color w:val="2B2B2B"/>
          <w:kern w:val="0"/>
          <w:sz w:val="32"/>
          <w:szCs w:val="32"/>
        </w:rPr>
        <w:t>第三章 严重失信行为</w:t>
      </w:r>
    </w:p>
    <w:p w14:paraId="6DF53B58"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楷体" w:eastAsia="楷体" w:hAnsi="楷体" w:cs="楷体" w:hint="eastAsia"/>
          <w:color w:val="2B2B2B"/>
          <w:kern w:val="0"/>
          <w:sz w:val="32"/>
          <w:szCs w:val="32"/>
        </w:rPr>
        <w:t>第十条</w:t>
      </w:r>
      <w:r>
        <w:rPr>
          <w:rFonts w:ascii="仿宋" w:eastAsia="仿宋" w:hAnsi="仿宋"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 xml:space="preserve"> 项目承担人员、项目申报（承担）单位在参与科技计划、项目管理和实施过程中，存在下列行为的，属于严重失信行为：</w:t>
      </w:r>
    </w:p>
    <w:p w14:paraId="73F2955A"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（一）项目承担人员或项目申报单位采取贿赂或变相贿赂、故意重复申报等不正当手段获取科技计划项目承担资格的；</w:t>
      </w:r>
    </w:p>
    <w:p w14:paraId="3C589D99"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（二）项目承担人员在项目申报、实施、验收中抄袭他人科研成果，故意侵犯他人知识产权，捏造或篡改科研数据和图表，科技报告、项目成果等造假，违反科研伦理规范的；</w:t>
      </w:r>
    </w:p>
    <w:p w14:paraId="2EA2D2D2"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（三）项目承担人员违反科研资金管理规定，套取、转移、挪用、贪污科研经费，谋取私利的；</w:t>
      </w:r>
    </w:p>
    <w:p w14:paraId="377E8CC5"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（四）项目申报（承担）单位未履行法人管理和服务职责，不按照规定程序对拟推荐项目予以公示的；包庇、纵容项目承担人员严重失信行为的；截留、挤占、挪用、转移科研经费的；</w:t>
      </w:r>
    </w:p>
    <w:p w14:paraId="0CEB2A2D"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（五）项目承担人员或项目承担单位不配合监督检查和评估工作，提供虚假材料，对相关处理意见拒不整改或虚假整改的；</w:t>
      </w:r>
    </w:p>
    <w:p w14:paraId="34BDB433" w14:textId="77777777" w:rsidR="000B579D" w:rsidRDefault="000B579D" w:rsidP="000B579D">
      <w:pPr>
        <w:widowControl/>
        <w:snapToGrid w:val="0"/>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（六）其他违法、违反财经纪律、违反项目任务书（合同、协议书等）约定和科研不端行为等情况。</w:t>
      </w:r>
    </w:p>
    <w:p w14:paraId="6CB6D6AD" w14:textId="77777777" w:rsidR="000B579D" w:rsidRDefault="000B579D" w:rsidP="000B579D">
      <w:pPr>
        <w:widowControl/>
        <w:snapToGrid w:val="0"/>
        <w:spacing w:line="580" w:lineRule="exact"/>
        <w:ind w:firstLineChars="200" w:firstLine="640"/>
        <w:rPr>
          <w:rFonts w:ascii="仿宋_GB2312" w:eastAsia="仿宋_GB2312" w:hAnsi="仿宋_GB2312" w:cs="仿宋_GB2312" w:hint="eastAsia"/>
          <w:color w:val="2B2B2B"/>
          <w:kern w:val="0"/>
          <w:sz w:val="32"/>
          <w:szCs w:val="32"/>
        </w:rPr>
      </w:pPr>
      <w:r>
        <w:rPr>
          <w:rFonts w:ascii="楷体" w:eastAsia="楷体" w:hAnsi="楷体" w:cs="楷体" w:hint="eastAsia"/>
          <w:color w:val="2B2B2B"/>
          <w:kern w:val="0"/>
          <w:sz w:val="32"/>
          <w:szCs w:val="32"/>
        </w:rPr>
        <w:t>第十一条</w:t>
      </w:r>
      <w:r>
        <w:rPr>
          <w:rFonts w:ascii="黑体" w:eastAsia="黑体" w:hAnsi="黑体"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 xml:space="preserve"> 咨询评审专家在参与科技计划项目评价过程中，存在下列行为之一的，属于严重失信行为：</w:t>
      </w:r>
    </w:p>
    <w:p w14:paraId="3D5695FF"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（一）与相关单位或人员恶意串通，影响评估评审结果公正性的；</w:t>
      </w:r>
    </w:p>
    <w:p w14:paraId="3DC527E3"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（二）擅自泄露或使用评估评审对象的技术秘密、评审资料的；</w:t>
      </w:r>
    </w:p>
    <w:p w14:paraId="4F97F78C"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（三）故意泄露评估评审结果、专家意见和相关的保密信息的；</w:t>
      </w:r>
    </w:p>
    <w:p w14:paraId="140085A9"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（四）利用评审专家身份为本单位及个人谋取不正当利益的。</w:t>
      </w:r>
    </w:p>
    <w:p w14:paraId="73146907"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楷体" w:eastAsia="楷体" w:hAnsi="楷体" w:cs="楷体" w:hint="eastAsia"/>
          <w:color w:val="2B2B2B"/>
          <w:kern w:val="0"/>
          <w:sz w:val="32"/>
          <w:szCs w:val="32"/>
        </w:rPr>
        <w:t>第十二条</w:t>
      </w:r>
      <w:r>
        <w:rPr>
          <w:rFonts w:ascii="仿宋" w:eastAsia="仿宋" w:hAnsi="仿宋"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第三方评估（评审）机构或会计师事务所等第三</w:t>
      </w:r>
      <w:proofErr w:type="gramStart"/>
      <w:r>
        <w:rPr>
          <w:rFonts w:ascii="仿宋_GB2312" w:eastAsia="仿宋_GB2312" w:hAnsi="仿宋_GB2312" w:cs="仿宋_GB2312" w:hint="eastAsia"/>
          <w:color w:val="2B2B2B"/>
          <w:kern w:val="0"/>
          <w:sz w:val="32"/>
          <w:szCs w:val="32"/>
        </w:rPr>
        <w:t>方服务</w:t>
      </w:r>
      <w:proofErr w:type="gramEnd"/>
      <w:r>
        <w:rPr>
          <w:rFonts w:ascii="仿宋_GB2312" w:eastAsia="仿宋_GB2312" w:hAnsi="仿宋_GB2312" w:cs="仿宋_GB2312" w:hint="eastAsia"/>
          <w:color w:val="2B2B2B"/>
          <w:kern w:val="0"/>
          <w:sz w:val="32"/>
          <w:szCs w:val="32"/>
        </w:rPr>
        <w:t>机构存在下列行为之一的，属于严重失信行为：</w:t>
      </w:r>
    </w:p>
    <w:p w14:paraId="710E1A11" w14:textId="77777777" w:rsidR="000B579D" w:rsidRDefault="000B579D" w:rsidP="000B579D">
      <w:pPr>
        <w:widowControl/>
        <w:spacing w:line="580" w:lineRule="exact"/>
        <w:ind w:firstLineChars="200" w:firstLine="640"/>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（一）第三方评估（评审）机构采取贿赂或变相贿赂、造假等不正当手段获取科技计划管理资格的；</w:t>
      </w:r>
    </w:p>
    <w:p w14:paraId="450AE700" w14:textId="77777777" w:rsidR="000B579D" w:rsidRDefault="000B579D" w:rsidP="000B579D">
      <w:pPr>
        <w:widowControl/>
        <w:spacing w:line="580" w:lineRule="exact"/>
        <w:ind w:firstLineChars="200" w:firstLine="640"/>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（二）第三方评估（评审）机构利用管理职能，设租寻租，为本单位、项目申报单位/项目承担单位或项目承担人员谋取不正当利益的；</w:t>
      </w:r>
    </w:p>
    <w:p w14:paraId="4E4CC956"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（三）第三方评估（评审）机构违反委托合同约定，不按制度执行或违反制度规定的；管理的科技计划或相关工作人员存在重大问题的；</w:t>
      </w:r>
    </w:p>
    <w:p w14:paraId="72D4B604"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（四）会计师事务所采取造假、串通等不正当手段出具虚假审计报告的；</w:t>
      </w:r>
    </w:p>
    <w:p w14:paraId="6557A61F"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（五）第三方评估（评审）机构或会计师事务所擅自泄露或使用评估评审对象的技术秘密、评审资料的；</w:t>
      </w:r>
    </w:p>
    <w:p w14:paraId="6E8CD80A"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（六）其他违法、违反财经纪律，违反合同、协议书等约定等情况。</w:t>
      </w:r>
    </w:p>
    <w:p w14:paraId="2C48DD3D" w14:textId="77777777" w:rsidR="000B579D" w:rsidRDefault="000B579D" w:rsidP="000B579D">
      <w:pPr>
        <w:widowControl/>
        <w:spacing w:line="580" w:lineRule="exact"/>
        <w:ind w:firstLineChars="200" w:firstLine="640"/>
        <w:rPr>
          <w:rFonts w:ascii="仿宋_GB2312" w:eastAsia="仿宋_GB2312" w:hAnsi="仿宋_GB2312" w:cs="仿宋_GB2312" w:hint="eastAsia"/>
          <w:color w:val="2B2B2B"/>
          <w:kern w:val="0"/>
          <w:sz w:val="32"/>
          <w:szCs w:val="32"/>
        </w:rPr>
      </w:pPr>
      <w:r>
        <w:rPr>
          <w:rFonts w:ascii="楷体" w:eastAsia="楷体" w:hAnsi="楷体" w:cs="楷体" w:hint="eastAsia"/>
          <w:color w:val="2B2B2B"/>
          <w:kern w:val="0"/>
          <w:sz w:val="32"/>
          <w:szCs w:val="32"/>
        </w:rPr>
        <w:t>第十三条</w:t>
      </w:r>
      <w:r>
        <w:rPr>
          <w:rFonts w:ascii="仿宋" w:eastAsia="仿宋" w:hAnsi="仿宋"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对具有本规定第十条、第十一条、第十二条行为的责任主体，且受到以下处理的，由市科技</w:t>
      </w:r>
      <w:proofErr w:type="gramStart"/>
      <w:r>
        <w:rPr>
          <w:rFonts w:ascii="仿宋_GB2312" w:eastAsia="仿宋_GB2312" w:hAnsi="仿宋_GB2312" w:cs="仿宋_GB2312" w:hint="eastAsia"/>
          <w:color w:val="2B2B2B"/>
          <w:kern w:val="0"/>
          <w:sz w:val="32"/>
          <w:szCs w:val="32"/>
        </w:rPr>
        <w:t>局相关</w:t>
      </w:r>
      <w:proofErr w:type="gramEnd"/>
      <w:r>
        <w:rPr>
          <w:rFonts w:ascii="仿宋_GB2312" w:eastAsia="仿宋_GB2312" w:hAnsi="仿宋_GB2312" w:cs="仿宋_GB2312" w:hint="eastAsia"/>
          <w:color w:val="2B2B2B"/>
          <w:kern w:val="0"/>
          <w:sz w:val="32"/>
          <w:szCs w:val="32"/>
        </w:rPr>
        <w:t>业务科室或第三方评估（评审）机构依据处理决定纳入严重失信行为记录。严重失信行为记录应在做出处理决定后30天内完成。记录信息包括：责任主体名称、统一社会信用代码、所涉及的计划类别、项目名称、违规违纪情形、处理处罚结果及主要责任人、处理单位、处理依据和做出处理决定的时间。</w:t>
      </w:r>
    </w:p>
    <w:p w14:paraId="025C2C54"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（一）受到刑事处罚或行政处罚并正式公告。</w:t>
      </w:r>
    </w:p>
    <w:p w14:paraId="251D4AB7"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（二）受审计、纪检监察等部门查处并正式通报。</w:t>
      </w:r>
    </w:p>
    <w:p w14:paraId="6FC80ACC"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（三）受相关部门和单位在科技计划、项目管理或监督检查中查处并以正式文件发布。</w:t>
      </w:r>
    </w:p>
    <w:p w14:paraId="68532D6B"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（四）因伪造、篡改、抄袭等严重科研不端行为，被国内外公开发行的学术出版刊物撤稿，或被国内外政府奖励评审主办方取消评审和获奖资格并正式通报。</w:t>
      </w:r>
    </w:p>
    <w:p w14:paraId="5A023EB5" w14:textId="77777777" w:rsidR="000B579D" w:rsidRDefault="000B579D" w:rsidP="000B579D">
      <w:pPr>
        <w:widowControl/>
        <w:spacing w:line="580" w:lineRule="exact"/>
        <w:ind w:firstLineChars="200" w:firstLine="640"/>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（五）经核实并履行告知程序的其它严重违规违纪</w:t>
      </w:r>
      <w:r>
        <w:rPr>
          <w:rFonts w:ascii="仿宋_GB2312" w:eastAsia="仿宋_GB2312" w:hAnsi="仿宋_GB2312" w:cs="仿宋_GB2312"/>
          <w:color w:val="2B2B2B"/>
          <w:kern w:val="0"/>
          <w:sz w:val="32"/>
          <w:szCs w:val="32"/>
        </w:rPr>
        <w:t>行</w:t>
      </w:r>
      <w:r>
        <w:rPr>
          <w:rFonts w:ascii="仿宋_GB2312" w:eastAsia="仿宋_GB2312" w:hAnsi="仿宋_GB2312" w:cs="仿宋_GB2312" w:hint="eastAsia"/>
          <w:color w:val="2B2B2B"/>
          <w:kern w:val="0"/>
          <w:sz w:val="32"/>
          <w:szCs w:val="32"/>
        </w:rPr>
        <w:t>为。对纪检监察、监督检查等部门已掌握确凿违规违纪问题</w:t>
      </w:r>
    </w:p>
    <w:p w14:paraId="232C819E" w14:textId="77777777" w:rsidR="000B579D" w:rsidRDefault="000B579D" w:rsidP="000B579D">
      <w:pPr>
        <w:spacing w:line="580" w:lineRule="exac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线索和证据，因客观原因尚未形成正式处理决定的相关责任主体，参照本条款执行。</w:t>
      </w:r>
    </w:p>
    <w:p w14:paraId="7D755865" w14:textId="77777777" w:rsidR="000B579D" w:rsidRDefault="000B579D" w:rsidP="000B579D">
      <w:pPr>
        <w:spacing w:line="580" w:lineRule="exact"/>
        <w:jc w:val="left"/>
        <w:rPr>
          <w:rFonts w:ascii="仿宋" w:eastAsia="仿宋" w:hAnsi="仿宋" w:cs="宋体" w:hint="eastAsia"/>
          <w:color w:val="2B2B2B"/>
          <w:kern w:val="0"/>
          <w:sz w:val="32"/>
          <w:szCs w:val="32"/>
        </w:rPr>
      </w:pPr>
    </w:p>
    <w:p w14:paraId="19CD1E45" w14:textId="77777777" w:rsidR="000B579D" w:rsidRDefault="000B579D" w:rsidP="000B579D">
      <w:pPr>
        <w:widowControl/>
        <w:spacing w:line="580" w:lineRule="exact"/>
        <w:jc w:val="center"/>
        <w:rPr>
          <w:rFonts w:ascii="黑体" w:eastAsia="黑体" w:hAnsi="黑体" w:cs="宋体"/>
          <w:bCs/>
          <w:color w:val="2B2B2B"/>
          <w:kern w:val="0"/>
          <w:sz w:val="32"/>
          <w:szCs w:val="32"/>
        </w:rPr>
      </w:pPr>
      <w:r>
        <w:rPr>
          <w:rFonts w:ascii="黑体" w:eastAsia="黑体" w:hAnsi="黑体" w:cs="宋体" w:hint="eastAsia"/>
          <w:bCs/>
          <w:color w:val="2B2B2B"/>
          <w:kern w:val="0"/>
          <w:sz w:val="32"/>
          <w:szCs w:val="32"/>
        </w:rPr>
        <w:t>第四章 记录管理</w:t>
      </w:r>
    </w:p>
    <w:p w14:paraId="6D0EEF0B" w14:textId="77777777" w:rsidR="000B579D" w:rsidRDefault="000B579D" w:rsidP="000B579D">
      <w:pPr>
        <w:widowControl/>
        <w:spacing w:line="580" w:lineRule="exact"/>
        <w:ind w:firstLineChars="200" w:firstLine="640"/>
        <w:rPr>
          <w:rFonts w:ascii="仿宋" w:eastAsia="仿宋" w:hAnsi="仿宋" w:cs="宋体"/>
          <w:color w:val="2B2B2B"/>
          <w:kern w:val="0"/>
          <w:sz w:val="32"/>
          <w:szCs w:val="32"/>
        </w:rPr>
      </w:pPr>
      <w:r>
        <w:rPr>
          <w:rFonts w:ascii="楷体" w:eastAsia="楷体" w:hAnsi="楷体" w:cs="楷体" w:hint="eastAsia"/>
          <w:color w:val="2B2B2B"/>
          <w:kern w:val="0"/>
          <w:sz w:val="32"/>
          <w:szCs w:val="32"/>
        </w:rPr>
        <w:t>第十四条</w:t>
      </w:r>
      <w:r>
        <w:rPr>
          <w:rFonts w:ascii="黑体" w:eastAsia="黑体" w:hAnsi="黑体"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科技计划项目相应管理主体负责相应不良信用行为记录：市科技</w:t>
      </w:r>
      <w:proofErr w:type="gramStart"/>
      <w:r>
        <w:rPr>
          <w:rFonts w:ascii="仿宋_GB2312" w:eastAsia="仿宋_GB2312" w:hAnsi="仿宋_GB2312" w:cs="仿宋_GB2312" w:hint="eastAsia"/>
          <w:color w:val="2B2B2B"/>
          <w:kern w:val="0"/>
          <w:sz w:val="32"/>
          <w:szCs w:val="32"/>
        </w:rPr>
        <w:t>局相关</w:t>
      </w:r>
      <w:proofErr w:type="gramEnd"/>
      <w:r>
        <w:rPr>
          <w:rFonts w:ascii="仿宋_GB2312" w:eastAsia="仿宋_GB2312" w:hAnsi="仿宋_GB2312" w:cs="仿宋_GB2312" w:hint="eastAsia"/>
          <w:color w:val="2B2B2B"/>
          <w:kern w:val="0"/>
          <w:sz w:val="32"/>
          <w:szCs w:val="32"/>
        </w:rPr>
        <w:t>业务科室负责对委托的第三方评估（评审）机构不良信用行为，以及直接管理的科技计划项目相关评审专家、承担（申请）单位、承担（申请）人不良信用行为进行记录；第三方评估（评审）机构负责对委托管理的科技计划项目相关评审专家、承担（申请）单位、承担（申请）人不良信用行为进行记录。</w:t>
      </w:r>
    </w:p>
    <w:p w14:paraId="70F558C0" w14:textId="77777777" w:rsidR="000B579D" w:rsidRDefault="000B579D" w:rsidP="000B579D">
      <w:pPr>
        <w:widowControl/>
        <w:spacing w:line="580" w:lineRule="exact"/>
        <w:ind w:firstLineChars="200" w:firstLine="640"/>
        <w:rPr>
          <w:rFonts w:ascii="仿宋" w:eastAsia="仿宋" w:hAnsi="仿宋" w:cs="宋体"/>
          <w:color w:val="2B2B2B"/>
          <w:kern w:val="0"/>
          <w:sz w:val="32"/>
          <w:szCs w:val="32"/>
        </w:rPr>
      </w:pPr>
      <w:r>
        <w:rPr>
          <w:rFonts w:ascii="楷体" w:eastAsia="楷体" w:hAnsi="楷体" w:cs="楷体" w:hint="eastAsia"/>
          <w:color w:val="2B2B2B"/>
          <w:kern w:val="0"/>
          <w:sz w:val="32"/>
          <w:szCs w:val="32"/>
        </w:rPr>
        <w:t>第十五条</w:t>
      </w:r>
      <w:r>
        <w:rPr>
          <w:rFonts w:ascii="仿宋" w:eastAsia="仿宋" w:hAnsi="仿宋"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各管理主体将不良信用行为记录报市科技局发展计划科，由发展计划科汇总。科技计划不良信用行为记录名单为市科技</w:t>
      </w:r>
      <w:proofErr w:type="gramStart"/>
      <w:r>
        <w:rPr>
          <w:rFonts w:ascii="仿宋_GB2312" w:eastAsia="仿宋_GB2312" w:hAnsi="仿宋_GB2312" w:cs="仿宋_GB2312" w:hint="eastAsia"/>
          <w:color w:val="2B2B2B"/>
          <w:kern w:val="0"/>
          <w:sz w:val="32"/>
          <w:szCs w:val="32"/>
        </w:rPr>
        <w:t>局相关</w:t>
      </w:r>
      <w:proofErr w:type="gramEnd"/>
      <w:r>
        <w:rPr>
          <w:rFonts w:ascii="仿宋_GB2312" w:eastAsia="仿宋_GB2312" w:hAnsi="仿宋_GB2312" w:cs="仿宋_GB2312" w:hint="eastAsia"/>
          <w:color w:val="2B2B2B"/>
          <w:kern w:val="0"/>
          <w:sz w:val="32"/>
          <w:szCs w:val="32"/>
        </w:rPr>
        <w:t>业务科室和第三方评估（评审）机构掌握使用。</w:t>
      </w:r>
    </w:p>
    <w:p w14:paraId="0F5AC35A" w14:textId="77777777" w:rsidR="000B579D" w:rsidRDefault="000B579D" w:rsidP="000B579D">
      <w:pPr>
        <w:widowControl/>
        <w:spacing w:line="580" w:lineRule="exact"/>
        <w:ind w:firstLineChars="200" w:firstLine="640"/>
        <w:rPr>
          <w:rFonts w:ascii="仿宋" w:eastAsia="仿宋" w:hAnsi="仿宋" w:cs="宋体"/>
          <w:color w:val="2B2B2B"/>
          <w:kern w:val="0"/>
          <w:sz w:val="32"/>
          <w:szCs w:val="32"/>
        </w:rPr>
      </w:pPr>
      <w:r>
        <w:rPr>
          <w:rFonts w:ascii="楷体" w:eastAsia="楷体" w:hAnsi="楷体" w:cs="楷体" w:hint="eastAsia"/>
          <w:color w:val="2B2B2B"/>
          <w:kern w:val="0"/>
          <w:sz w:val="32"/>
          <w:szCs w:val="32"/>
        </w:rPr>
        <w:t>第十六条</w:t>
      </w:r>
      <w:r>
        <w:rPr>
          <w:rFonts w:ascii="仿宋" w:eastAsia="仿宋" w:hAnsi="仿宋"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 xml:space="preserve">不良信用行为记录名单及时向责任主体通报，对于责任主体为自然人的同时向其所在法人单位通报。 </w:t>
      </w:r>
      <w:r>
        <w:rPr>
          <w:rFonts w:ascii="仿宋" w:eastAsia="仿宋" w:hAnsi="仿宋" w:cs="宋体" w:hint="eastAsia"/>
          <w:color w:val="2B2B2B"/>
          <w:kern w:val="0"/>
          <w:sz w:val="32"/>
          <w:szCs w:val="32"/>
        </w:rPr>
        <w:t xml:space="preserve"> </w:t>
      </w:r>
    </w:p>
    <w:p w14:paraId="28050214" w14:textId="77777777" w:rsidR="000B579D" w:rsidRDefault="000B579D" w:rsidP="000B579D">
      <w:pPr>
        <w:widowControl/>
        <w:spacing w:line="580" w:lineRule="exact"/>
        <w:ind w:firstLineChars="200" w:firstLine="640"/>
        <w:jc w:val="left"/>
        <w:rPr>
          <w:rFonts w:ascii="仿宋" w:eastAsia="仿宋" w:hAnsi="仿宋" w:cs="宋体"/>
          <w:color w:val="2B2B2B"/>
          <w:kern w:val="0"/>
          <w:sz w:val="32"/>
          <w:szCs w:val="32"/>
        </w:rPr>
      </w:pPr>
      <w:r>
        <w:rPr>
          <w:rFonts w:ascii="楷体" w:eastAsia="楷体" w:hAnsi="楷体" w:cs="楷体" w:hint="eastAsia"/>
          <w:color w:val="2B2B2B"/>
          <w:kern w:val="0"/>
          <w:sz w:val="32"/>
          <w:szCs w:val="32"/>
        </w:rPr>
        <w:t>第十七条</w:t>
      </w:r>
      <w:r>
        <w:rPr>
          <w:rFonts w:ascii="黑体" w:eastAsia="黑体" w:hAnsi="黑体"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实行记录名单动态调整机制。组织实施过失名单记录保留期限为三年，三年后相关责任主体如无其他不良信用行为记录，自动移出名单；严重失信行为记录名单保留期限为相关处理处罚规定期限，处理处罚届满</w:t>
      </w:r>
      <w:proofErr w:type="gramStart"/>
      <w:r>
        <w:rPr>
          <w:rFonts w:ascii="仿宋_GB2312" w:eastAsia="仿宋_GB2312" w:hAnsi="仿宋_GB2312" w:cs="仿宋_GB2312" w:hint="eastAsia"/>
          <w:color w:val="2B2B2B"/>
          <w:kern w:val="0"/>
          <w:sz w:val="32"/>
          <w:szCs w:val="32"/>
        </w:rPr>
        <w:t>时相关</w:t>
      </w:r>
      <w:proofErr w:type="gramEnd"/>
      <w:r>
        <w:rPr>
          <w:rFonts w:ascii="仿宋_GB2312" w:eastAsia="仿宋_GB2312" w:hAnsi="仿宋_GB2312" w:cs="仿宋_GB2312" w:hint="eastAsia"/>
          <w:color w:val="2B2B2B"/>
          <w:kern w:val="0"/>
          <w:sz w:val="32"/>
          <w:szCs w:val="32"/>
        </w:rPr>
        <w:t>责任主体如无其他不良信用行为记录，移出严重失信行为记录名单，无明确处罚规定期限的，保留期限为5年。</w:t>
      </w:r>
    </w:p>
    <w:p w14:paraId="632D7D73"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楷体" w:eastAsia="楷体" w:hAnsi="楷体" w:cs="楷体" w:hint="eastAsia"/>
          <w:color w:val="2B2B2B"/>
          <w:kern w:val="0"/>
          <w:sz w:val="32"/>
          <w:szCs w:val="32"/>
        </w:rPr>
        <w:t>第十八条</w:t>
      </w:r>
      <w:r>
        <w:rPr>
          <w:rFonts w:ascii="仿宋" w:eastAsia="仿宋" w:hAnsi="仿宋"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在后续科技计划和项目管理工作中，应当充分利用不良信用行为记录信息，对相关责任主体采取如下限制措施：</w:t>
      </w:r>
    </w:p>
    <w:p w14:paraId="633289DB"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一）在科技计划项目管理办法、科技评价专家管理办法、第三方机构管理办法等相关制度文件中有明确规定的，按照相关制度文件执行；无明确规定的，在计划项目立项、评审专家遴选、科技奖励评审第三方评估（评审）机构确定中，将不良信用行为记录作为重要参考依据。</w:t>
      </w:r>
    </w:p>
    <w:p w14:paraId="24DF71AC" w14:textId="77777777" w:rsidR="000B579D" w:rsidRDefault="000B579D" w:rsidP="000B579D">
      <w:pPr>
        <w:widowControl/>
        <w:spacing w:line="580" w:lineRule="exact"/>
        <w:ind w:firstLineChars="200" w:firstLine="640"/>
        <w:rPr>
          <w:rFonts w:ascii="仿宋_GB2312" w:eastAsia="仿宋_GB2312" w:hAnsi="仿宋_GB2312" w:cs="仿宋_GB2312" w:hint="eastAsia"/>
          <w:color w:val="2B2B2B"/>
          <w:kern w:val="0"/>
          <w:sz w:val="32"/>
          <w:szCs w:val="32"/>
        </w:rPr>
      </w:pPr>
      <w:r>
        <w:rPr>
          <w:rFonts w:ascii="仿宋_GB2312" w:eastAsia="仿宋_GB2312" w:hAnsi="仿宋_GB2312" w:cs="仿宋_GB2312" w:hint="eastAsia"/>
          <w:color w:val="2B2B2B"/>
          <w:kern w:val="0"/>
          <w:sz w:val="32"/>
          <w:szCs w:val="32"/>
        </w:rPr>
        <w:t>（二）对纳入严重失信行为记录的相关法人单位、一年内有3个（含3个）以上相关责任主体被纳入不良信用行为记录的法人单位和一年内有2个（含2个）以上相关责任主体被纳入严重失信行为记录的法人单位作为项目实施监督的重要对象，加强监督和管理。</w:t>
      </w:r>
    </w:p>
    <w:p w14:paraId="2B18A888" w14:textId="77777777" w:rsidR="000B579D" w:rsidRDefault="000B579D" w:rsidP="000B579D">
      <w:pPr>
        <w:widowControl/>
        <w:spacing w:line="580" w:lineRule="exact"/>
        <w:ind w:firstLineChars="200" w:firstLine="640"/>
        <w:rPr>
          <w:rFonts w:ascii="仿宋" w:eastAsia="仿宋" w:hAnsi="仿宋" w:cs="宋体" w:hint="eastAsia"/>
          <w:color w:val="2B2B2B"/>
          <w:kern w:val="0"/>
          <w:sz w:val="32"/>
          <w:szCs w:val="32"/>
        </w:rPr>
      </w:pPr>
    </w:p>
    <w:p w14:paraId="6C062319" w14:textId="77777777" w:rsidR="000B579D" w:rsidRDefault="000B579D" w:rsidP="000B579D">
      <w:pPr>
        <w:widowControl/>
        <w:spacing w:line="580" w:lineRule="exact"/>
        <w:jc w:val="center"/>
        <w:rPr>
          <w:rFonts w:ascii="黑体" w:eastAsia="黑体" w:hAnsi="黑体" w:cs="宋体"/>
          <w:color w:val="2B2B2B"/>
          <w:kern w:val="0"/>
          <w:sz w:val="32"/>
          <w:szCs w:val="32"/>
        </w:rPr>
      </w:pPr>
      <w:r>
        <w:rPr>
          <w:rFonts w:ascii="黑体" w:eastAsia="黑体" w:hAnsi="黑体" w:cs="宋体" w:hint="eastAsia"/>
          <w:bCs/>
          <w:color w:val="2B2B2B"/>
          <w:kern w:val="0"/>
          <w:sz w:val="32"/>
          <w:szCs w:val="32"/>
        </w:rPr>
        <w:t>第五章 附则</w:t>
      </w:r>
    </w:p>
    <w:p w14:paraId="427D710A" w14:textId="77777777" w:rsidR="000B579D" w:rsidRDefault="000B579D" w:rsidP="000B579D">
      <w:pPr>
        <w:widowControl/>
        <w:spacing w:line="580" w:lineRule="exact"/>
        <w:ind w:firstLineChars="200" w:firstLine="640"/>
        <w:jc w:val="left"/>
        <w:rPr>
          <w:rFonts w:ascii="仿宋" w:eastAsia="仿宋" w:hAnsi="仿宋" w:cs="宋体"/>
          <w:color w:val="2B2B2B"/>
          <w:kern w:val="0"/>
          <w:sz w:val="32"/>
          <w:szCs w:val="32"/>
        </w:rPr>
      </w:pPr>
      <w:r>
        <w:rPr>
          <w:rFonts w:ascii="楷体" w:eastAsia="楷体" w:hAnsi="楷体" w:cs="楷体" w:hint="eastAsia"/>
          <w:color w:val="2B2B2B"/>
          <w:kern w:val="0"/>
          <w:sz w:val="32"/>
          <w:szCs w:val="32"/>
        </w:rPr>
        <w:t>第十九条</w:t>
      </w:r>
      <w:r>
        <w:rPr>
          <w:rFonts w:ascii="仿宋" w:eastAsia="仿宋" w:hAnsi="仿宋"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本办法自发布之日起实施。</w:t>
      </w:r>
    </w:p>
    <w:p w14:paraId="61666951" w14:textId="77777777" w:rsidR="000B579D" w:rsidRDefault="000B579D" w:rsidP="000B579D">
      <w:pPr>
        <w:widowControl/>
        <w:spacing w:line="580" w:lineRule="exact"/>
        <w:ind w:firstLineChars="200" w:firstLine="640"/>
        <w:jc w:val="left"/>
        <w:rPr>
          <w:rFonts w:ascii="仿宋_GB2312" w:eastAsia="仿宋_GB2312" w:hAnsi="仿宋_GB2312" w:cs="仿宋_GB2312" w:hint="eastAsia"/>
          <w:sz w:val="28"/>
          <w:szCs w:val="28"/>
        </w:rPr>
      </w:pPr>
      <w:r>
        <w:rPr>
          <w:rFonts w:ascii="楷体" w:eastAsia="楷体" w:hAnsi="楷体" w:cs="楷体" w:hint="eastAsia"/>
          <w:color w:val="2B2B2B"/>
          <w:kern w:val="0"/>
          <w:sz w:val="32"/>
          <w:szCs w:val="32"/>
        </w:rPr>
        <w:t>第二十条</w:t>
      </w:r>
      <w:r>
        <w:rPr>
          <w:rFonts w:ascii="仿宋" w:eastAsia="仿宋" w:hAnsi="仿宋" w:cs="宋体" w:hint="eastAsia"/>
          <w:color w:val="2B2B2B"/>
          <w:kern w:val="0"/>
          <w:sz w:val="32"/>
          <w:szCs w:val="32"/>
        </w:rPr>
        <w:t xml:space="preserve">  </w:t>
      </w:r>
      <w:r>
        <w:rPr>
          <w:rFonts w:ascii="仿宋_GB2312" w:eastAsia="仿宋_GB2312" w:hAnsi="仿宋_GB2312" w:cs="仿宋_GB2312" w:hint="eastAsia"/>
          <w:color w:val="2B2B2B"/>
          <w:kern w:val="0"/>
          <w:sz w:val="32"/>
          <w:szCs w:val="32"/>
        </w:rPr>
        <w:t>本办法由市科技局负责解释。</w:t>
      </w:r>
    </w:p>
    <w:p w14:paraId="2FC6414A" w14:textId="77777777" w:rsidR="003D4260" w:rsidRPr="000B579D" w:rsidRDefault="003D4260"/>
    <w:sectPr w:rsidR="003D4260" w:rsidRPr="000B57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8D5B" w14:textId="77777777" w:rsidR="003C7BE4" w:rsidRDefault="003C7BE4" w:rsidP="000B579D">
      <w:r>
        <w:separator/>
      </w:r>
    </w:p>
  </w:endnote>
  <w:endnote w:type="continuationSeparator" w:id="0">
    <w:p w14:paraId="09D22207" w14:textId="77777777" w:rsidR="003C7BE4" w:rsidRDefault="003C7BE4" w:rsidP="000B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A7D1" w14:textId="77777777" w:rsidR="003C7BE4" w:rsidRDefault="003C7BE4" w:rsidP="000B579D">
      <w:r>
        <w:separator/>
      </w:r>
    </w:p>
  </w:footnote>
  <w:footnote w:type="continuationSeparator" w:id="0">
    <w:p w14:paraId="4F8997BE" w14:textId="77777777" w:rsidR="003C7BE4" w:rsidRDefault="003C7BE4" w:rsidP="000B5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01"/>
    <w:rsid w:val="000B579D"/>
    <w:rsid w:val="003C7BE4"/>
    <w:rsid w:val="003D4260"/>
    <w:rsid w:val="00C2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6CF139-1DD2-4395-A661-75447F4D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79D"/>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79D"/>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B579D"/>
    <w:rPr>
      <w:sz w:val="18"/>
      <w:szCs w:val="18"/>
    </w:rPr>
  </w:style>
  <w:style w:type="paragraph" w:styleId="a5">
    <w:name w:val="footer"/>
    <w:basedOn w:val="a"/>
    <w:link w:val="a6"/>
    <w:uiPriority w:val="99"/>
    <w:unhideWhenUsed/>
    <w:rsid w:val="000B579D"/>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B57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BY</dc:creator>
  <cp:keywords/>
  <dc:description/>
  <cp:lastModifiedBy>H BY</cp:lastModifiedBy>
  <cp:revision>2</cp:revision>
  <dcterms:created xsi:type="dcterms:W3CDTF">2021-11-29T17:31:00Z</dcterms:created>
  <dcterms:modified xsi:type="dcterms:W3CDTF">2021-11-29T17:34:00Z</dcterms:modified>
</cp:coreProperties>
</file>